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EDE2F" w14:textId="77777777" w:rsidR="00295213" w:rsidRPr="0024512D" w:rsidRDefault="0081636A">
      <w:pPr>
        <w:pStyle w:val="Ttulo"/>
        <w:rPr>
          <w:lang w:val="pt-BR"/>
        </w:rPr>
      </w:pPr>
      <w:r w:rsidRPr="0024512D">
        <w:rPr>
          <w:color w:val="646464"/>
          <w:spacing w:val="-36"/>
          <w:lang w:val="pt-BR"/>
        </w:rPr>
        <w:t>ANATEL</w:t>
      </w:r>
    </w:p>
    <w:p w14:paraId="543E8FEF" w14:textId="77777777" w:rsidR="00295213" w:rsidRPr="0024512D" w:rsidRDefault="0081636A">
      <w:pPr>
        <w:spacing w:before="99" w:line="223" w:lineRule="auto"/>
        <w:ind w:left="1080" w:firstLine="1704"/>
        <w:rPr>
          <w:b/>
          <w:sz w:val="16"/>
          <w:lang w:val="pt-BR"/>
        </w:rPr>
      </w:pPr>
      <w:r w:rsidRPr="0024512D">
        <w:rPr>
          <w:lang w:val="pt-BR"/>
        </w:rPr>
        <w:br w:type="column"/>
      </w:r>
      <w:r w:rsidRPr="0024512D">
        <w:rPr>
          <w:b/>
          <w:color w:val="505050"/>
          <w:sz w:val="16"/>
          <w:lang w:val="pt-BR"/>
        </w:rPr>
        <w:t>BOA</w:t>
      </w:r>
      <w:r w:rsidRPr="0024512D">
        <w:rPr>
          <w:b/>
          <w:color w:val="505050"/>
          <w:spacing w:val="11"/>
          <w:sz w:val="16"/>
          <w:lang w:val="pt-BR"/>
        </w:rPr>
        <w:t xml:space="preserve"> </w:t>
      </w:r>
      <w:r w:rsidRPr="0024512D">
        <w:rPr>
          <w:b/>
          <w:color w:val="505050"/>
          <w:sz w:val="16"/>
          <w:lang w:val="pt-BR"/>
        </w:rPr>
        <w:t>TARDE</w:t>
      </w:r>
      <w:r w:rsidRPr="0024512D">
        <w:rPr>
          <w:b/>
          <w:color w:val="505050"/>
          <w:spacing w:val="1"/>
          <w:sz w:val="16"/>
          <w:lang w:val="pt-BR"/>
        </w:rPr>
        <w:t xml:space="preserve"> </w:t>
      </w:r>
      <w:r w:rsidRPr="0024512D">
        <w:rPr>
          <w:b/>
          <w:color w:val="505050"/>
          <w:sz w:val="16"/>
          <w:u w:val="single" w:color="939393"/>
          <w:lang w:val="pt-BR"/>
        </w:rPr>
        <w:t>RONALDO</w:t>
      </w:r>
      <w:r w:rsidRPr="0024512D">
        <w:rPr>
          <w:b/>
          <w:color w:val="505050"/>
          <w:spacing w:val="30"/>
          <w:sz w:val="16"/>
          <w:u w:val="single" w:color="939393"/>
          <w:lang w:val="pt-BR"/>
        </w:rPr>
        <w:t xml:space="preserve"> </w:t>
      </w:r>
      <w:r w:rsidRPr="0024512D">
        <w:rPr>
          <w:b/>
          <w:color w:val="505050"/>
          <w:sz w:val="16"/>
          <w:u w:val="single" w:color="939393"/>
          <w:lang w:val="pt-BR"/>
        </w:rPr>
        <w:t>COLLECTA</w:t>
      </w:r>
      <w:r w:rsidRPr="0024512D">
        <w:rPr>
          <w:b/>
          <w:color w:val="505050"/>
          <w:spacing w:val="20"/>
          <w:sz w:val="16"/>
          <w:lang w:val="pt-BR"/>
        </w:rPr>
        <w:t xml:space="preserve"> </w:t>
      </w:r>
      <w:r w:rsidRPr="0024512D">
        <w:rPr>
          <w:b/>
          <w:color w:val="505050"/>
          <w:sz w:val="16"/>
          <w:lang w:val="pt-BR"/>
        </w:rPr>
        <w:t>SANTAREM</w:t>
      </w:r>
    </w:p>
    <w:p w14:paraId="7F249C29" w14:textId="77777777" w:rsidR="00295213" w:rsidRPr="0024512D" w:rsidRDefault="0081636A">
      <w:pPr>
        <w:spacing w:before="48" w:line="183" w:lineRule="exact"/>
        <w:ind w:left="1354" w:right="1456"/>
        <w:jc w:val="center"/>
        <w:rPr>
          <w:rFonts w:ascii="Times New Roman"/>
          <w:sz w:val="17"/>
          <w:lang w:val="pt-BR"/>
        </w:rPr>
      </w:pPr>
      <w:proofErr w:type="spellStart"/>
      <w:r w:rsidRPr="0024512D">
        <w:rPr>
          <w:rFonts w:ascii="Times New Roman"/>
          <w:color w:val="5A5A5A"/>
          <w:w w:val="110"/>
          <w:sz w:val="17"/>
          <w:lang w:val="pt-BR"/>
        </w:rPr>
        <w:t>Slitemas</w:t>
      </w:r>
      <w:proofErr w:type="spellEnd"/>
    </w:p>
    <w:p w14:paraId="3A87D704" w14:textId="77777777" w:rsidR="00295213" w:rsidRPr="0024512D" w:rsidRDefault="0081636A">
      <w:pPr>
        <w:spacing w:line="275" w:lineRule="exact"/>
        <w:ind w:left="1354" w:right="1466"/>
        <w:jc w:val="center"/>
        <w:rPr>
          <w:rFonts w:ascii="Times New Roman"/>
          <w:b/>
          <w:sz w:val="25"/>
          <w:lang w:val="pt-BR"/>
        </w:rPr>
      </w:pPr>
      <w:r w:rsidRPr="0024512D">
        <w:rPr>
          <w:rFonts w:ascii="Times New Roman"/>
          <w:b/>
          <w:color w:val="4D4D4D"/>
          <w:w w:val="90"/>
          <w:sz w:val="25"/>
          <w:lang w:val="pt-BR"/>
        </w:rPr>
        <w:t>Interativos</w:t>
      </w:r>
    </w:p>
    <w:p w14:paraId="085093B1" w14:textId="77777777" w:rsidR="00295213" w:rsidRPr="0024512D" w:rsidRDefault="00295213">
      <w:pPr>
        <w:spacing w:line="275" w:lineRule="exact"/>
        <w:jc w:val="center"/>
        <w:rPr>
          <w:rFonts w:ascii="Times New Roman"/>
          <w:sz w:val="25"/>
          <w:lang w:val="pt-BR"/>
        </w:rPr>
        <w:sectPr w:rsidR="00295213" w:rsidRPr="0024512D">
          <w:type w:val="continuous"/>
          <w:pgSz w:w="11910" w:h="16840"/>
          <w:pgMar w:top="1020" w:right="440" w:bottom="280" w:left="540" w:header="720" w:footer="720" w:gutter="0"/>
          <w:cols w:num="2" w:space="720" w:equalWidth="0">
            <w:col w:w="3169" w:space="3851"/>
            <w:col w:w="3910"/>
          </w:cols>
        </w:sectPr>
      </w:pPr>
    </w:p>
    <w:p w14:paraId="163E9B9C" w14:textId="3499E723" w:rsidR="00295213" w:rsidRPr="0024512D" w:rsidRDefault="0081636A">
      <w:pPr>
        <w:spacing w:before="16"/>
        <w:ind w:left="194"/>
        <w:rPr>
          <w:rFonts w:ascii="Calibri" w:hAnsi="Calibri"/>
          <w:sz w:val="17"/>
          <w:lang w:val="pt-BR"/>
        </w:rPr>
      </w:pPr>
      <w:r w:rsidRPr="0024512D">
        <w:rPr>
          <w:rFonts w:ascii="Times New Roman" w:hAnsi="Times New Roman"/>
          <w:b/>
          <w:color w:val="535353"/>
          <w:w w:val="95"/>
          <w:sz w:val="34"/>
          <w:lang w:val="pt-BR"/>
        </w:rPr>
        <w:t>B</w:t>
      </w:r>
      <w:r w:rsidRPr="0024512D">
        <w:rPr>
          <w:rFonts w:ascii="Times New Roman" w:hAnsi="Times New Roman"/>
          <w:b/>
          <w:color w:val="535353"/>
          <w:spacing w:val="19"/>
          <w:w w:val="95"/>
          <w:sz w:val="34"/>
          <w:lang w:val="pt-BR"/>
        </w:rPr>
        <w:t xml:space="preserve"> </w:t>
      </w:r>
      <w:r w:rsidRPr="0024512D">
        <w:rPr>
          <w:b/>
          <w:color w:val="020202"/>
          <w:w w:val="95"/>
          <w:sz w:val="20"/>
          <w:lang w:val="pt-BR"/>
        </w:rPr>
        <w:t>Menu</w:t>
      </w:r>
      <w:r w:rsidRPr="0024512D">
        <w:rPr>
          <w:b/>
          <w:color w:val="020202"/>
          <w:spacing w:val="15"/>
          <w:w w:val="95"/>
          <w:sz w:val="20"/>
          <w:lang w:val="pt-BR"/>
        </w:rPr>
        <w:t xml:space="preserve"> </w:t>
      </w:r>
      <w:r w:rsidRPr="0024512D">
        <w:rPr>
          <w:b/>
          <w:color w:val="020202"/>
          <w:w w:val="95"/>
          <w:sz w:val="20"/>
          <w:lang w:val="pt-BR"/>
        </w:rPr>
        <w:t>Principal</w:t>
      </w:r>
      <w:r w:rsidRPr="0024512D">
        <w:rPr>
          <w:b/>
          <w:color w:val="020202"/>
          <w:spacing w:val="11"/>
          <w:w w:val="95"/>
          <w:sz w:val="20"/>
          <w:lang w:val="pt-BR"/>
        </w:rPr>
        <w:t xml:space="preserve"> </w:t>
      </w:r>
      <w:r w:rsidRPr="0024512D">
        <w:rPr>
          <w:rFonts w:ascii="Calibri" w:hAnsi="Calibri"/>
          <w:color w:val="020202"/>
          <w:w w:val="95"/>
          <w:sz w:val="17"/>
          <w:lang w:val="pt-BR"/>
        </w:rPr>
        <w:t>SACP</w:t>
      </w:r>
      <w:r w:rsidRPr="0024512D">
        <w:rPr>
          <w:rFonts w:ascii="Calibri" w:hAnsi="Calibri"/>
          <w:color w:val="020202"/>
          <w:spacing w:val="22"/>
          <w:w w:val="95"/>
          <w:sz w:val="17"/>
          <w:lang w:val="pt-BR"/>
        </w:rPr>
        <w:t xml:space="preserve"> </w:t>
      </w:r>
      <w:r w:rsidRPr="0024512D">
        <w:rPr>
          <w:rFonts w:ascii="Verdana" w:hAnsi="Verdana"/>
          <w:color w:val="020202"/>
          <w:w w:val="95"/>
          <w:sz w:val="18"/>
          <w:lang w:val="pt-BR"/>
        </w:rPr>
        <w:t xml:space="preserve">»» </w:t>
      </w:r>
      <w:r w:rsidRPr="0024512D">
        <w:rPr>
          <w:rFonts w:ascii="Calibri" w:hAnsi="Calibri"/>
          <w:color w:val="020202"/>
          <w:w w:val="95"/>
          <w:sz w:val="17"/>
          <w:lang w:val="pt-BR"/>
        </w:rPr>
        <w:t>Contribuições</w:t>
      </w:r>
      <w:r w:rsidRPr="0024512D">
        <w:rPr>
          <w:rFonts w:ascii="Calibri" w:hAnsi="Calibri"/>
          <w:color w:val="020202"/>
          <w:spacing w:val="23"/>
          <w:w w:val="95"/>
          <w:sz w:val="17"/>
          <w:lang w:val="pt-BR"/>
        </w:rPr>
        <w:t xml:space="preserve"> </w:t>
      </w:r>
      <w:r w:rsidRPr="0024512D">
        <w:rPr>
          <w:rFonts w:ascii="Verdana" w:hAnsi="Verdana"/>
          <w:color w:val="020202"/>
          <w:w w:val="95"/>
          <w:sz w:val="18"/>
          <w:lang w:val="pt-BR"/>
        </w:rPr>
        <w:t xml:space="preserve">»» </w:t>
      </w:r>
      <w:r w:rsidRPr="0024512D">
        <w:rPr>
          <w:rFonts w:ascii="Calibri" w:hAnsi="Calibri"/>
          <w:color w:val="020202"/>
          <w:w w:val="95"/>
          <w:sz w:val="17"/>
          <w:lang w:val="pt-BR"/>
        </w:rPr>
        <w:t>Consultas em</w:t>
      </w:r>
      <w:r w:rsidRPr="0024512D">
        <w:rPr>
          <w:rFonts w:ascii="Calibri" w:hAnsi="Calibri"/>
          <w:color w:val="020202"/>
          <w:spacing w:val="-2"/>
          <w:w w:val="95"/>
          <w:sz w:val="17"/>
          <w:lang w:val="pt-BR"/>
        </w:rPr>
        <w:t xml:space="preserve"> </w:t>
      </w:r>
      <w:r w:rsidRPr="0024512D">
        <w:rPr>
          <w:rFonts w:ascii="Calibri" w:hAnsi="Calibri"/>
          <w:color w:val="020202"/>
          <w:w w:val="95"/>
          <w:sz w:val="17"/>
          <w:lang w:val="pt-BR"/>
        </w:rPr>
        <w:t>Andamento</w:t>
      </w:r>
      <w:r w:rsidRPr="0024512D">
        <w:rPr>
          <w:rFonts w:ascii="Calibri" w:hAnsi="Calibri"/>
          <w:color w:val="020202"/>
          <w:spacing w:val="22"/>
          <w:w w:val="95"/>
          <w:sz w:val="17"/>
          <w:lang w:val="pt-BR"/>
        </w:rPr>
        <w:t xml:space="preserve"> </w:t>
      </w:r>
      <w:r w:rsidRPr="0024512D">
        <w:rPr>
          <w:rFonts w:ascii="Verdana" w:hAnsi="Verdana"/>
          <w:color w:val="020202"/>
          <w:w w:val="95"/>
          <w:sz w:val="18"/>
          <w:lang w:val="pt-BR"/>
        </w:rPr>
        <w:t>»»</w:t>
      </w:r>
      <w:r w:rsidRPr="0024512D">
        <w:rPr>
          <w:rFonts w:ascii="Verdana" w:hAnsi="Verdana"/>
          <w:color w:val="020202"/>
          <w:spacing w:val="10"/>
          <w:w w:val="95"/>
          <w:sz w:val="18"/>
          <w:lang w:val="pt-BR"/>
        </w:rPr>
        <w:t xml:space="preserve"> </w:t>
      </w:r>
      <w:r w:rsidRPr="0024512D">
        <w:rPr>
          <w:rFonts w:ascii="Verdana" w:hAnsi="Verdana"/>
          <w:color w:val="020202"/>
          <w:w w:val="95"/>
          <w:sz w:val="18"/>
          <w:lang w:val="pt-BR"/>
        </w:rPr>
        <w:t>Listagem</w:t>
      </w:r>
      <w:r w:rsidRPr="0024512D">
        <w:rPr>
          <w:rFonts w:ascii="Verdana" w:hAnsi="Verdana"/>
          <w:color w:val="020202"/>
          <w:spacing w:val="5"/>
          <w:w w:val="95"/>
          <w:sz w:val="18"/>
          <w:lang w:val="pt-BR"/>
        </w:rPr>
        <w:t xml:space="preserve"> </w:t>
      </w:r>
      <w:r w:rsidRPr="0024512D">
        <w:rPr>
          <w:rFonts w:ascii="Verdana" w:hAnsi="Verdana"/>
          <w:color w:val="020202"/>
          <w:w w:val="95"/>
          <w:sz w:val="18"/>
          <w:lang w:val="pt-BR"/>
        </w:rPr>
        <w:t>de</w:t>
      </w:r>
      <w:r w:rsidRPr="0024512D">
        <w:rPr>
          <w:rFonts w:ascii="Verdana" w:hAnsi="Verdana"/>
          <w:color w:val="020202"/>
          <w:spacing w:val="-2"/>
          <w:w w:val="95"/>
          <w:sz w:val="18"/>
          <w:lang w:val="pt-BR"/>
        </w:rPr>
        <w:t xml:space="preserve"> </w:t>
      </w:r>
      <w:r w:rsidRPr="0024512D">
        <w:rPr>
          <w:b/>
          <w:color w:val="020202"/>
          <w:w w:val="95"/>
          <w:sz w:val="20"/>
          <w:lang w:val="pt-BR"/>
        </w:rPr>
        <w:t>CONSULTAS</w:t>
      </w:r>
      <w:r w:rsidRPr="0024512D">
        <w:rPr>
          <w:b/>
          <w:color w:val="020202"/>
          <w:spacing w:val="10"/>
          <w:w w:val="95"/>
          <w:sz w:val="20"/>
          <w:lang w:val="pt-BR"/>
        </w:rPr>
        <w:t xml:space="preserve"> </w:t>
      </w:r>
      <w:r w:rsidRPr="0024512D">
        <w:rPr>
          <w:b/>
          <w:color w:val="020202"/>
          <w:w w:val="95"/>
          <w:sz w:val="20"/>
          <w:lang w:val="pt-BR"/>
        </w:rPr>
        <w:t>PÚBLICAS</w:t>
      </w:r>
      <w:r w:rsidRPr="0024512D">
        <w:rPr>
          <w:b/>
          <w:color w:val="020202"/>
          <w:spacing w:val="-5"/>
          <w:w w:val="95"/>
          <w:sz w:val="20"/>
          <w:lang w:val="pt-BR"/>
        </w:rPr>
        <w:t xml:space="preserve"> </w:t>
      </w:r>
      <w:r w:rsidRPr="0024512D">
        <w:rPr>
          <w:rFonts w:ascii="Times New Roman" w:hAnsi="Times New Roman"/>
          <w:color w:val="9C9C9C"/>
          <w:w w:val="55"/>
          <w:sz w:val="39"/>
          <w:lang w:val="pt-BR"/>
        </w:rPr>
        <w:t>I</w:t>
      </w:r>
      <w:r w:rsidRPr="0024512D">
        <w:rPr>
          <w:rFonts w:ascii="Times New Roman" w:hAnsi="Times New Roman"/>
          <w:color w:val="9C9C9C"/>
          <w:spacing w:val="63"/>
          <w:sz w:val="39"/>
          <w:lang w:val="pt-BR"/>
        </w:rPr>
        <w:t xml:space="preserve"> </w:t>
      </w:r>
      <w:r w:rsidRPr="0024512D">
        <w:rPr>
          <w:rFonts w:ascii="Calibri" w:hAnsi="Calibri"/>
          <w:color w:val="020202"/>
          <w:w w:val="95"/>
          <w:position w:val="5"/>
          <w:sz w:val="17"/>
          <w:lang w:val="pt-BR"/>
        </w:rPr>
        <w:t>menu</w:t>
      </w:r>
      <w:r w:rsidRPr="0024512D">
        <w:rPr>
          <w:rFonts w:ascii="Calibri" w:hAnsi="Calibri"/>
          <w:color w:val="020202"/>
          <w:spacing w:val="47"/>
          <w:position w:val="5"/>
          <w:sz w:val="17"/>
          <w:lang w:val="pt-BR"/>
        </w:rPr>
        <w:t xml:space="preserve"> </w:t>
      </w:r>
      <w:r w:rsidRPr="0024512D">
        <w:rPr>
          <w:rFonts w:ascii="Calibri" w:hAnsi="Calibri"/>
          <w:color w:val="020202"/>
          <w:w w:val="95"/>
          <w:position w:val="5"/>
          <w:sz w:val="17"/>
          <w:lang w:val="pt-BR"/>
        </w:rPr>
        <w:t>ajuda</w:t>
      </w:r>
    </w:p>
    <w:p w14:paraId="7AE46CE3" w14:textId="77777777" w:rsidR="00295213" w:rsidRPr="0024512D" w:rsidRDefault="0081636A">
      <w:pPr>
        <w:spacing w:before="373"/>
        <w:ind w:left="350"/>
        <w:rPr>
          <w:sz w:val="16"/>
          <w:lang w:val="pt-BR"/>
        </w:rPr>
      </w:pPr>
      <w:r w:rsidRPr="0024512D">
        <w:rPr>
          <w:spacing w:val="-5"/>
          <w:sz w:val="16"/>
          <w:lang w:val="pt-BR"/>
        </w:rPr>
        <w:t>Indica</w:t>
      </w:r>
      <w:r w:rsidRPr="0024512D">
        <w:rPr>
          <w:spacing w:val="-4"/>
          <w:sz w:val="16"/>
          <w:lang w:val="pt-BR"/>
        </w:rPr>
        <w:t xml:space="preserve"> </w:t>
      </w:r>
      <w:r w:rsidRPr="0024512D">
        <w:rPr>
          <w:spacing w:val="-5"/>
          <w:sz w:val="16"/>
          <w:lang w:val="pt-BR"/>
        </w:rPr>
        <w:t>campos</w:t>
      </w:r>
      <w:r w:rsidRPr="0024512D">
        <w:rPr>
          <w:spacing w:val="-6"/>
          <w:sz w:val="16"/>
          <w:lang w:val="pt-BR"/>
        </w:rPr>
        <w:t xml:space="preserve"> </w:t>
      </w:r>
      <w:r w:rsidRPr="0024512D">
        <w:rPr>
          <w:spacing w:val="-5"/>
          <w:sz w:val="16"/>
          <w:lang w:val="pt-BR"/>
        </w:rPr>
        <w:t>obrigatórios</w:t>
      </w:r>
    </w:p>
    <w:p w14:paraId="283229AA" w14:textId="77777777" w:rsidR="00295213" w:rsidRPr="0024512D" w:rsidRDefault="00295213">
      <w:pPr>
        <w:pStyle w:val="Corpodetexto"/>
        <w:spacing w:before="1"/>
        <w:rPr>
          <w:sz w:val="13"/>
          <w:lang w:val="pt-BR"/>
        </w:rPr>
      </w:pPr>
    </w:p>
    <w:p w14:paraId="2775397F" w14:textId="77777777" w:rsidR="00295213" w:rsidRPr="0024512D" w:rsidRDefault="0081636A">
      <w:pPr>
        <w:spacing w:before="100"/>
        <w:ind w:left="4724" w:right="4786"/>
        <w:jc w:val="center"/>
        <w:rPr>
          <w:b/>
          <w:sz w:val="16"/>
          <w:lang w:val="pt-BR"/>
        </w:rPr>
      </w:pPr>
      <w:r w:rsidRPr="0024512D">
        <w:rPr>
          <w:b/>
          <w:sz w:val="16"/>
          <w:lang w:val="pt-BR"/>
        </w:rPr>
        <w:t>CONTRIBUIÇÕES</w:t>
      </w:r>
    </w:p>
    <w:p w14:paraId="572B95B3" w14:textId="77777777" w:rsidR="00295213" w:rsidRPr="0024512D" w:rsidRDefault="0081636A">
      <w:pPr>
        <w:spacing w:before="138"/>
        <w:ind w:left="1065"/>
        <w:rPr>
          <w:sz w:val="16"/>
          <w:lang w:val="pt-BR"/>
        </w:rPr>
      </w:pPr>
      <w:r w:rsidRPr="0024512D">
        <w:rPr>
          <w:b/>
          <w:spacing w:val="-1"/>
          <w:sz w:val="16"/>
          <w:lang w:val="pt-BR"/>
        </w:rPr>
        <w:t>Contribuidor:</w:t>
      </w:r>
      <w:r w:rsidRPr="0024512D">
        <w:rPr>
          <w:b/>
          <w:spacing w:val="32"/>
          <w:sz w:val="16"/>
          <w:lang w:val="pt-BR"/>
        </w:rPr>
        <w:t xml:space="preserve"> </w:t>
      </w:r>
      <w:r w:rsidRPr="0024512D">
        <w:rPr>
          <w:sz w:val="16"/>
          <w:lang w:val="pt-BR"/>
        </w:rPr>
        <w:t>RONALDO</w:t>
      </w:r>
      <w:r w:rsidRPr="0024512D">
        <w:rPr>
          <w:spacing w:val="-7"/>
          <w:sz w:val="16"/>
          <w:lang w:val="pt-BR"/>
        </w:rPr>
        <w:t xml:space="preserve"> </w:t>
      </w:r>
      <w:r w:rsidRPr="0024512D">
        <w:rPr>
          <w:sz w:val="16"/>
          <w:lang w:val="pt-BR"/>
        </w:rPr>
        <w:t>COLLECTA</w:t>
      </w:r>
      <w:r w:rsidRPr="0024512D">
        <w:rPr>
          <w:spacing w:val="-12"/>
          <w:sz w:val="16"/>
          <w:lang w:val="pt-BR"/>
        </w:rPr>
        <w:t xml:space="preserve"> </w:t>
      </w:r>
      <w:r w:rsidRPr="0024512D">
        <w:rPr>
          <w:sz w:val="16"/>
          <w:lang w:val="pt-BR"/>
        </w:rPr>
        <w:t>SANTAREM</w:t>
      </w:r>
    </w:p>
    <w:p w14:paraId="3E1AE8B1" w14:textId="77777777" w:rsidR="00295213" w:rsidRPr="0024512D" w:rsidRDefault="0081636A">
      <w:pPr>
        <w:spacing w:before="138"/>
        <w:ind w:left="1377"/>
        <w:rPr>
          <w:sz w:val="16"/>
          <w:lang w:val="pt-BR"/>
        </w:rPr>
      </w:pPr>
      <w:r w:rsidRPr="0024512D">
        <w:rPr>
          <w:b/>
          <w:sz w:val="16"/>
          <w:lang w:val="pt-BR"/>
        </w:rPr>
        <w:t>Entidade:</w:t>
      </w:r>
      <w:r w:rsidRPr="0024512D">
        <w:rPr>
          <w:b/>
          <w:spacing w:val="22"/>
          <w:sz w:val="16"/>
          <w:lang w:val="pt-BR"/>
        </w:rPr>
        <w:t xml:space="preserve"> </w:t>
      </w:r>
      <w:r w:rsidRPr="0024512D">
        <w:rPr>
          <w:sz w:val="16"/>
          <w:lang w:val="pt-BR"/>
        </w:rPr>
        <w:t>ASSOCIAÇÃO</w:t>
      </w:r>
      <w:r w:rsidRPr="0024512D">
        <w:rPr>
          <w:spacing w:val="-4"/>
          <w:sz w:val="16"/>
          <w:lang w:val="pt-BR"/>
        </w:rPr>
        <w:t xml:space="preserve"> </w:t>
      </w:r>
      <w:r w:rsidRPr="0024512D">
        <w:rPr>
          <w:sz w:val="16"/>
          <w:lang w:val="pt-BR"/>
        </w:rPr>
        <w:t>UTC</w:t>
      </w:r>
      <w:r w:rsidRPr="0024512D">
        <w:rPr>
          <w:spacing w:val="-10"/>
          <w:sz w:val="16"/>
          <w:lang w:val="pt-BR"/>
        </w:rPr>
        <w:t xml:space="preserve"> </w:t>
      </w:r>
      <w:r w:rsidRPr="0024512D">
        <w:rPr>
          <w:sz w:val="16"/>
          <w:lang w:val="pt-BR"/>
        </w:rPr>
        <w:t>AMERICA</w:t>
      </w:r>
      <w:r w:rsidRPr="0024512D">
        <w:rPr>
          <w:spacing w:val="-5"/>
          <w:sz w:val="16"/>
          <w:lang w:val="pt-BR"/>
        </w:rPr>
        <w:t xml:space="preserve"> </w:t>
      </w:r>
      <w:r w:rsidRPr="0024512D">
        <w:rPr>
          <w:sz w:val="16"/>
          <w:lang w:val="pt-BR"/>
        </w:rPr>
        <w:t>LATINA</w:t>
      </w:r>
    </w:p>
    <w:p w14:paraId="295DA106" w14:textId="77777777" w:rsidR="00295213" w:rsidRPr="0024512D" w:rsidRDefault="0081636A">
      <w:pPr>
        <w:spacing w:before="138"/>
        <w:ind w:left="772"/>
        <w:rPr>
          <w:sz w:val="16"/>
          <w:lang w:val="pt-BR"/>
        </w:rPr>
      </w:pPr>
      <w:r w:rsidRPr="0024512D">
        <w:rPr>
          <w:b/>
          <w:sz w:val="16"/>
          <w:lang w:val="pt-BR"/>
        </w:rPr>
        <w:t>Área</w:t>
      </w:r>
      <w:r w:rsidRPr="0024512D">
        <w:rPr>
          <w:b/>
          <w:spacing w:val="1"/>
          <w:sz w:val="16"/>
          <w:lang w:val="pt-BR"/>
        </w:rPr>
        <w:t xml:space="preserve"> </w:t>
      </w:r>
      <w:r w:rsidRPr="0024512D">
        <w:rPr>
          <w:b/>
          <w:sz w:val="16"/>
          <w:lang w:val="pt-BR"/>
        </w:rPr>
        <w:t>de atuação:</w:t>
      </w:r>
      <w:r w:rsidRPr="0024512D">
        <w:rPr>
          <w:b/>
          <w:spacing w:val="39"/>
          <w:sz w:val="16"/>
          <w:lang w:val="pt-BR"/>
        </w:rPr>
        <w:t xml:space="preserve"> </w:t>
      </w:r>
      <w:r w:rsidRPr="0024512D">
        <w:rPr>
          <w:sz w:val="16"/>
          <w:lang w:val="pt-BR"/>
        </w:rPr>
        <w:t>OUTRO</w:t>
      </w:r>
    </w:p>
    <w:p w14:paraId="07F72B0A" w14:textId="77777777" w:rsidR="00295213" w:rsidRPr="0024512D" w:rsidRDefault="0081636A">
      <w:pPr>
        <w:spacing w:before="138"/>
        <w:ind w:left="617"/>
        <w:rPr>
          <w:sz w:val="16"/>
          <w:lang w:val="pt-BR"/>
        </w:rPr>
      </w:pPr>
      <w:r w:rsidRPr="0024512D">
        <w:rPr>
          <w:b/>
          <w:sz w:val="16"/>
          <w:lang w:val="pt-BR"/>
        </w:rPr>
        <w:t>Título</w:t>
      </w:r>
      <w:r w:rsidRPr="0024512D">
        <w:rPr>
          <w:b/>
          <w:spacing w:val="-6"/>
          <w:sz w:val="16"/>
          <w:lang w:val="pt-BR"/>
        </w:rPr>
        <w:t xml:space="preserve"> </w:t>
      </w:r>
      <w:r w:rsidRPr="0024512D">
        <w:rPr>
          <w:b/>
          <w:sz w:val="16"/>
          <w:lang w:val="pt-BR"/>
        </w:rPr>
        <w:t>da Consulta:</w:t>
      </w:r>
      <w:r w:rsidRPr="0024512D">
        <w:rPr>
          <w:b/>
          <w:spacing w:val="26"/>
          <w:sz w:val="16"/>
          <w:lang w:val="pt-BR"/>
        </w:rPr>
        <w:t xml:space="preserve"> </w:t>
      </w:r>
      <w:r w:rsidRPr="0024512D">
        <w:rPr>
          <w:sz w:val="16"/>
          <w:lang w:val="pt-BR"/>
        </w:rPr>
        <w:t>CONSULTA</w:t>
      </w:r>
      <w:r w:rsidRPr="0024512D">
        <w:rPr>
          <w:spacing w:val="-6"/>
          <w:sz w:val="16"/>
          <w:lang w:val="pt-BR"/>
        </w:rPr>
        <w:t xml:space="preserve"> </w:t>
      </w:r>
      <w:r w:rsidRPr="0024512D">
        <w:rPr>
          <w:sz w:val="16"/>
          <w:lang w:val="pt-BR"/>
        </w:rPr>
        <w:t>PÚBLICA</w:t>
      </w:r>
      <w:r w:rsidRPr="0024512D">
        <w:rPr>
          <w:spacing w:val="-3"/>
          <w:sz w:val="16"/>
          <w:lang w:val="pt-BR"/>
        </w:rPr>
        <w:t xml:space="preserve"> </w:t>
      </w:r>
      <w:r w:rsidRPr="0024512D">
        <w:rPr>
          <w:sz w:val="16"/>
          <w:lang w:val="pt-BR"/>
        </w:rPr>
        <w:t>N</w:t>
      </w:r>
      <w:r w:rsidRPr="0024512D">
        <w:rPr>
          <w:position w:val="4"/>
          <w:sz w:val="10"/>
          <w:lang w:val="pt-BR"/>
        </w:rPr>
        <w:t>º</w:t>
      </w:r>
      <w:r w:rsidRPr="0024512D">
        <w:rPr>
          <w:spacing w:val="32"/>
          <w:position w:val="4"/>
          <w:sz w:val="10"/>
          <w:lang w:val="pt-BR"/>
        </w:rPr>
        <w:t xml:space="preserve"> </w:t>
      </w:r>
      <w:r w:rsidRPr="0024512D">
        <w:rPr>
          <w:sz w:val="16"/>
          <w:lang w:val="pt-BR"/>
        </w:rPr>
        <w:t>52</w:t>
      </w:r>
    </w:p>
    <w:p w14:paraId="303AD987" w14:textId="77777777" w:rsidR="00295213" w:rsidRPr="0024512D" w:rsidRDefault="00295213">
      <w:pPr>
        <w:pStyle w:val="Corpodetexto"/>
        <w:spacing w:before="6"/>
        <w:rPr>
          <w:lang w:val="pt-BR"/>
        </w:rPr>
      </w:pPr>
    </w:p>
    <w:p w14:paraId="5CB7E10A" w14:textId="77777777" w:rsidR="00295213" w:rsidRPr="0024512D" w:rsidRDefault="0081636A">
      <w:pPr>
        <w:ind w:left="2388"/>
        <w:rPr>
          <w:b/>
          <w:sz w:val="20"/>
          <w:lang w:val="pt-BR"/>
        </w:rPr>
      </w:pPr>
      <w:r w:rsidRPr="0024512D">
        <w:rPr>
          <w:b/>
          <w:color w:val="171717"/>
          <w:spacing w:val="-3"/>
          <w:sz w:val="20"/>
          <w:lang w:val="pt-BR"/>
        </w:rPr>
        <w:t>AGÊNCIA</w:t>
      </w:r>
      <w:r w:rsidRPr="0024512D">
        <w:rPr>
          <w:b/>
          <w:color w:val="171717"/>
          <w:spacing w:val="-7"/>
          <w:sz w:val="20"/>
          <w:lang w:val="pt-BR"/>
        </w:rPr>
        <w:t xml:space="preserve"> </w:t>
      </w:r>
      <w:r w:rsidRPr="0024512D">
        <w:rPr>
          <w:b/>
          <w:color w:val="171717"/>
          <w:spacing w:val="-3"/>
          <w:sz w:val="20"/>
          <w:lang w:val="pt-BR"/>
        </w:rPr>
        <w:t>NACIONAL</w:t>
      </w:r>
      <w:r w:rsidRPr="0024512D">
        <w:rPr>
          <w:b/>
          <w:color w:val="171717"/>
          <w:spacing w:val="-4"/>
          <w:sz w:val="20"/>
          <w:lang w:val="pt-BR"/>
        </w:rPr>
        <w:t xml:space="preserve"> </w:t>
      </w:r>
      <w:r w:rsidRPr="0024512D">
        <w:rPr>
          <w:b/>
          <w:color w:val="171717"/>
          <w:spacing w:val="-3"/>
          <w:sz w:val="20"/>
          <w:lang w:val="pt-BR"/>
        </w:rPr>
        <w:t>DE</w:t>
      </w:r>
      <w:r w:rsidRPr="0024512D">
        <w:rPr>
          <w:b/>
          <w:color w:val="171717"/>
          <w:spacing w:val="-12"/>
          <w:sz w:val="20"/>
          <w:lang w:val="pt-BR"/>
        </w:rPr>
        <w:t xml:space="preserve"> </w:t>
      </w:r>
      <w:r w:rsidRPr="0024512D">
        <w:rPr>
          <w:b/>
          <w:color w:val="171717"/>
          <w:spacing w:val="-3"/>
          <w:sz w:val="20"/>
          <w:lang w:val="pt-BR"/>
        </w:rPr>
        <w:t>TELECOMUNICAÇÕES</w:t>
      </w:r>
    </w:p>
    <w:p w14:paraId="15412409" w14:textId="77777777" w:rsidR="00295213" w:rsidRPr="0024512D" w:rsidRDefault="00295213">
      <w:pPr>
        <w:pStyle w:val="Corpodetexto"/>
        <w:spacing w:before="3"/>
        <w:rPr>
          <w:b/>
          <w:sz w:val="24"/>
          <w:lang w:val="pt-BR"/>
        </w:rPr>
      </w:pPr>
    </w:p>
    <w:p w14:paraId="2C966517" w14:textId="77777777" w:rsidR="00295213" w:rsidRPr="0024512D" w:rsidRDefault="00295213">
      <w:pPr>
        <w:pStyle w:val="Corpodetexto"/>
        <w:rPr>
          <w:b/>
          <w:sz w:val="28"/>
          <w:szCs w:val="28"/>
          <w:lang w:val="pt-BR"/>
        </w:rPr>
      </w:pPr>
    </w:p>
    <w:p w14:paraId="02BC24E6" w14:textId="7B820E94" w:rsidR="00295213" w:rsidRPr="0024512D" w:rsidRDefault="0024512D">
      <w:pPr>
        <w:pStyle w:val="Corpodetexto"/>
        <w:rPr>
          <w:rFonts w:ascii="Times New Roman"/>
          <w:sz w:val="28"/>
          <w:szCs w:val="28"/>
          <w:lang w:val="pt-BR"/>
        </w:rPr>
      </w:pPr>
      <w:r>
        <w:rPr>
          <w:rFonts w:ascii="Times New Roman"/>
          <w:sz w:val="28"/>
          <w:szCs w:val="28"/>
          <w:lang w:val="pt-BR"/>
        </w:rPr>
        <w:t>________________________________________________________________________</w:t>
      </w:r>
    </w:p>
    <w:p w14:paraId="1C17F581" w14:textId="77777777" w:rsidR="0024512D" w:rsidRDefault="0024512D" w:rsidP="0024512D">
      <w:pPr>
        <w:pStyle w:val="Corpodetexto"/>
        <w:tabs>
          <w:tab w:val="left" w:pos="2402"/>
        </w:tabs>
        <w:spacing w:before="15" w:line="223" w:lineRule="auto"/>
        <w:ind w:left="2387" w:right="422" w:hanging="2264"/>
        <w:rPr>
          <w:rFonts w:ascii="Verdana" w:hAnsi="Verdana"/>
          <w:b/>
          <w:color w:val="1C1C1C"/>
          <w:spacing w:val="-1"/>
          <w:w w:val="90"/>
          <w:sz w:val="28"/>
          <w:szCs w:val="28"/>
          <w:lang w:val="pt-BR"/>
        </w:rPr>
      </w:pPr>
    </w:p>
    <w:p w14:paraId="3C139C4B" w14:textId="47762FE3" w:rsidR="0024512D" w:rsidRDefault="0024512D" w:rsidP="0024512D">
      <w:pPr>
        <w:pStyle w:val="Corpodetexto"/>
        <w:tabs>
          <w:tab w:val="left" w:pos="2402"/>
        </w:tabs>
        <w:spacing w:before="15" w:line="223" w:lineRule="auto"/>
        <w:ind w:left="2387" w:right="422" w:hanging="2264"/>
        <w:rPr>
          <w:rFonts w:ascii="Verdana" w:hAnsi="Verdana"/>
          <w:b/>
          <w:color w:val="1C1C1C"/>
          <w:spacing w:val="-1"/>
          <w:w w:val="90"/>
          <w:sz w:val="28"/>
          <w:szCs w:val="28"/>
          <w:lang w:val="pt-BR"/>
        </w:rPr>
      </w:pPr>
      <w:r w:rsidRPr="0024512D">
        <w:rPr>
          <w:rFonts w:ascii="Verdana" w:hAnsi="Verdana"/>
          <w:b/>
          <w:color w:val="1C1C1C"/>
          <w:spacing w:val="-1"/>
          <w:w w:val="90"/>
          <w:sz w:val="28"/>
          <w:szCs w:val="28"/>
          <w:lang w:val="pt-BR"/>
        </w:rPr>
        <w:t>ITEM: Resolução, art. 2º</w:t>
      </w:r>
    </w:p>
    <w:p w14:paraId="6AF77A04" w14:textId="77777777" w:rsidR="0024512D" w:rsidRPr="0024512D" w:rsidRDefault="0024512D" w:rsidP="0024512D">
      <w:pPr>
        <w:pStyle w:val="Corpodetexto"/>
        <w:tabs>
          <w:tab w:val="left" w:pos="2402"/>
        </w:tabs>
        <w:spacing w:before="15" w:line="223" w:lineRule="auto"/>
        <w:ind w:left="2387" w:right="422" w:hanging="2264"/>
        <w:rPr>
          <w:rFonts w:ascii="Verdana" w:hAnsi="Verdana"/>
          <w:b/>
          <w:color w:val="1C1C1C"/>
          <w:spacing w:val="-1"/>
          <w:w w:val="90"/>
          <w:sz w:val="28"/>
          <w:szCs w:val="28"/>
          <w:lang w:val="pt-BR"/>
        </w:rPr>
      </w:pPr>
    </w:p>
    <w:p w14:paraId="3C539448" w14:textId="3310CB36" w:rsidR="0024512D" w:rsidRPr="0024512D" w:rsidRDefault="0024512D" w:rsidP="0024512D">
      <w:pPr>
        <w:widowControl/>
        <w:adjustRightInd w:val="0"/>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Alterar a destinação das subfaixas de radiofrequências de 703 MHz a 708 MHz e de 758 MHz a 763 MHz de Serviço Limitado Privado (SLP), em aplicações de Segurança Pública, Defesa Nacional e Infraestrutura, para Serviço Limitado Privado (SLP), em caráter primário.</w:t>
      </w:r>
    </w:p>
    <w:p w14:paraId="06E035D1" w14:textId="3E49ED0B" w:rsidR="00295213" w:rsidRPr="00E32BA9" w:rsidRDefault="00295213" w:rsidP="00E32BA9">
      <w:pPr>
        <w:spacing w:before="1"/>
        <w:ind w:left="284"/>
        <w:rPr>
          <w:rFonts w:ascii="Verdana" w:hAnsi="Verdana"/>
          <w:b/>
          <w:sz w:val="28"/>
          <w:szCs w:val="28"/>
          <w:lang w:val="pt-BR"/>
        </w:rPr>
      </w:pPr>
    </w:p>
    <w:p w14:paraId="625DFD4C" w14:textId="77777777" w:rsidR="00E32BA9" w:rsidRPr="0024512D" w:rsidRDefault="00E32BA9" w:rsidP="00E32BA9">
      <w:pPr>
        <w:spacing w:before="1"/>
        <w:rPr>
          <w:rFonts w:ascii="Verdana" w:hAnsi="Verdana"/>
          <w:b/>
          <w:sz w:val="28"/>
          <w:szCs w:val="28"/>
          <w:lang w:val="pt-BR"/>
        </w:rPr>
      </w:pPr>
      <w:r w:rsidRPr="0024512D">
        <w:rPr>
          <w:rFonts w:ascii="Verdana" w:hAnsi="Verdana"/>
          <w:b/>
          <w:sz w:val="28"/>
          <w:szCs w:val="28"/>
          <w:lang w:val="pt-BR"/>
        </w:rPr>
        <w:t>Contribuição</w:t>
      </w:r>
    </w:p>
    <w:p w14:paraId="4ACB2B8B" w14:textId="77777777" w:rsidR="00E32BA9" w:rsidRPr="0024512D" w:rsidRDefault="00E32BA9" w:rsidP="00E32BA9">
      <w:pPr>
        <w:widowControl/>
        <w:shd w:val="clear" w:color="auto" w:fill="FFFFFF"/>
        <w:autoSpaceDE/>
        <w:autoSpaceDN/>
        <w:rPr>
          <w:rFonts w:ascii="Arial" w:eastAsia="Times New Roman" w:hAnsi="Arial" w:cs="Arial"/>
          <w:color w:val="222222"/>
          <w:sz w:val="28"/>
          <w:szCs w:val="28"/>
          <w:lang w:val="pt-BR" w:eastAsia="pt-BR"/>
        </w:rPr>
      </w:pPr>
    </w:p>
    <w:p w14:paraId="6F5252A7" w14:textId="003C775F" w:rsidR="00E32BA9" w:rsidRPr="0024512D" w:rsidRDefault="00E32BA9" w:rsidP="00E32BA9">
      <w:pPr>
        <w:widowControl/>
        <w:shd w:val="clear" w:color="auto" w:fill="FFFFFF"/>
        <w:autoSpaceDE/>
        <w:autoSpaceDN/>
        <w:rPr>
          <w:rFonts w:asciiTheme="minorHAnsi" w:eastAsia="Times New Roman" w:hAnsiTheme="minorHAnsi" w:cstheme="minorHAnsi"/>
          <w:color w:val="222222"/>
          <w:sz w:val="28"/>
          <w:szCs w:val="28"/>
          <w:lang w:val="pt-BR" w:eastAsia="pt-BR"/>
        </w:rPr>
      </w:pPr>
      <w:r>
        <w:rPr>
          <w:rFonts w:asciiTheme="minorHAnsi" w:eastAsia="Times New Roman" w:hAnsiTheme="minorHAnsi" w:cstheme="minorHAnsi"/>
          <w:color w:val="222222"/>
          <w:sz w:val="28"/>
          <w:szCs w:val="28"/>
          <w:lang w:val="pt-BR" w:eastAsia="pt-BR"/>
        </w:rPr>
        <w:t>Tomamos nota e</w:t>
      </w:r>
      <w:r w:rsidRPr="0024512D">
        <w:rPr>
          <w:rFonts w:asciiTheme="minorHAnsi" w:eastAsia="Times New Roman" w:hAnsiTheme="minorHAnsi" w:cstheme="minorHAnsi"/>
          <w:color w:val="222222"/>
          <w:sz w:val="28"/>
          <w:szCs w:val="28"/>
          <w:lang w:val="pt-BR" w:eastAsia="pt-BR"/>
        </w:rPr>
        <w:t xml:space="preserve"> agradecemos à ANATEL pela destinação das faixas de 703-708 MHz e 758-763 MHz para o SLP, em caráter primário.</w:t>
      </w:r>
    </w:p>
    <w:p w14:paraId="4439C4BB" w14:textId="77777777" w:rsidR="00E32BA9" w:rsidRPr="0024512D" w:rsidRDefault="00E32BA9" w:rsidP="00E32BA9">
      <w:pPr>
        <w:widowControl/>
        <w:shd w:val="clear" w:color="auto" w:fill="FFFFFF"/>
        <w:autoSpaceDE/>
        <w:autoSpaceDN/>
        <w:rPr>
          <w:rFonts w:ascii="Arial" w:eastAsia="Times New Roman" w:hAnsi="Arial" w:cs="Arial"/>
          <w:color w:val="222222"/>
          <w:sz w:val="28"/>
          <w:szCs w:val="28"/>
          <w:lang w:val="pt-BR" w:eastAsia="pt-BR"/>
        </w:rPr>
      </w:pPr>
    </w:p>
    <w:p w14:paraId="773D21B5" w14:textId="77777777" w:rsidR="00E32BA9" w:rsidRPr="0024512D" w:rsidRDefault="00E32BA9" w:rsidP="00E32BA9">
      <w:pPr>
        <w:spacing w:before="1"/>
        <w:rPr>
          <w:rFonts w:ascii="Verdana" w:hAnsi="Verdana"/>
          <w:b/>
          <w:sz w:val="28"/>
          <w:szCs w:val="28"/>
          <w:lang w:val="pt-BR"/>
        </w:rPr>
      </w:pPr>
      <w:r w:rsidRPr="0024512D">
        <w:rPr>
          <w:rFonts w:ascii="Verdana" w:hAnsi="Verdana"/>
          <w:b/>
          <w:sz w:val="28"/>
          <w:szCs w:val="28"/>
          <w:lang w:val="pt-BR"/>
        </w:rPr>
        <w:t>Justificativa </w:t>
      </w:r>
    </w:p>
    <w:p w14:paraId="7F430C8B" w14:textId="77777777" w:rsidR="00E32BA9" w:rsidRPr="0024512D" w:rsidRDefault="00E32BA9" w:rsidP="00E32BA9">
      <w:pPr>
        <w:widowControl/>
        <w:shd w:val="clear" w:color="auto" w:fill="FFFFFF"/>
        <w:autoSpaceDE/>
        <w:autoSpaceDN/>
        <w:rPr>
          <w:rFonts w:ascii="Arial" w:eastAsia="Times New Roman" w:hAnsi="Arial" w:cs="Arial"/>
          <w:color w:val="222222"/>
          <w:sz w:val="28"/>
          <w:szCs w:val="28"/>
          <w:lang w:val="pt-BR" w:eastAsia="pt-BR"/>
        </w:rPr>
      </w:pPr>
    </w:p>
    <w:p w14:paraId="4A4530FF" w14:textId="513804C3" w:rsidR="00E32BA9" w:rsidRPr="0024512D" w:rsidRDefault="00E32BA9" w:rsidP="00FD1BDD">
      <w:pPr>
        <w:widowControl/>
        <w:shd w:val="clear" w:color="auto" w:fill="FFFFFF"/>
        <w:autoSpaceDE/>
        <w:autoSpaceDN/>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Esta faixa será de grande valia para as empresas dos setores de energia elétrica, gás e petróleo, água e saneamento. Estas empresas estão desenvolvendo diversos projetos de modernização de suas redes de distribuição, com a sua automação e implantação de medidores inteligentes, bombas e religadores telecomandados etc. Estas iniciativas permitirão a melhoria dos serviços prestados com a redução do número de falhas e diminuição do tempo para restabelecimento da rede e estão alinhadas com o conceito de cidades inteligentes, trazendo enormes benefícios para toda a sociedade</w:t>
      </w:r>
    </w:p>
    <w:p w14:paraId="5B759441" w14:textId="77777777" w:rsidR="00E32BA9" w:rsidRPr="0024512D" w:rsidRDefault="00E32BA9" w:rsidP="00FD1BDD">
      <w:pPr>
        <w:widowControl/>
        <w:shd w:val="clear" w:color="auto" w:fill="FFFFFF"/>
        <w:autoSpaceDE/>
        <w:autoSpaceDN/>
        <w:jc w:val="both"/>
        <w:rPr>
          <w:rFonts w:asciiTheme="minorHAnsi" w:eastAsia="Times New Roman" w:hAnsiTheme="minorHAnsi" w:cstheme="minorHAnsi"/>
          <w:color w:val="222222"/>
          <w:sz w:val="28"/>
          <w:szCs w:val="28"/>
          <w:lang w:val="pt-BR" w:eastAsia="pt-BR"/>
        </w:rPr>
      </w:pPr>
    </w:p>
    <w:p w14:paraId="48C577DA" w14:textId="56AE147D" w:rsidR="00E32BA9" w:rsidRPr="0024512D" w:rsidRDefault="00E32BA9" w:rsidP="00FD1BDD">
      <w:pPr>
        <w:widowControl/>
        <w:shd w:val="clear" w:color="auto" w:fill="FFFFFF"/>
        <w:autoSpaceDE/>
        <w:autoSpaceDN/>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 As empresas destes setores conseguem atender uma quantidade maior de usuários ao poderem utilizar as faixas abaixo de 1 GHz devido ao maior alcance que esta</w:t>
      </w:r>
      <w:r w:rsidR="000C2C11">
        <w:rPr>
          <w:rFonts w:asciiTheme="minorHAnsi" w:eastAsia="Times New Roman" w:hAnsiTheme="minorHAnsi" w:cstheme="minorHAnsi"/>
          <w:color w:val="222222"/>
          <w:sz w:val="28"/>
          <w:szCs w:val="28"/>
          <w:lang w:val="pt-BR" w:eastAsia="pt-BR"/>
        </w:rPr>
        <w:t>s</w:t>
      </w:r>
      <w:r w:rsidRPr="0024512D">
        <w:rPr>
          <w:rFonts w:asciiTheme="minorHAnsi" w:eastAsia="Times New Roman" w:hAnsiTheme="minorHAnsi" w:cstheme="minorHAnsi"/>
          <w:color w:val="222222"/>
          <w:sz w:val="28"/>
          <w:szCs w:val="28"/>
          <w:lang w:val="pt-BR" w:eastAsia="pt-BR"/>
        </w:rPr>
        <w:t xml:space="preserve"> faixa</w:t>
      </w:r>
      <w:r w:rsidR="000C2C11">
        <w:rPr>
          <w:rFonts w:asciiTheme="minorHAnsi" w:eastAsia="Times New Roman" w:hAnsiTheme="minorHAnsi" w:cstheme="minorHAnsi"/>
          <w:color w:val="222222"/>
          <w:sz w:val="28"/>
          <w:szCs w:val="28"/>
          <w:lang w:val="pt-BR" w:eastAsia="pt-BR"/>
        </w:rPr>
        <w:t>s</w:t>
      </w:r>
      <w:r w:rsidRPr="0024512D">
        <w:rPr>
          <w:rFonts w:asciiTheme="minorHAnsi" w:eastAsia="Times New Roman" w:hAnsiTheme="minorHAnsi" w:cstheme="minorHAnsi"/>
          <w:color w:val="222222"/>
          <w:sz w:val="28"/>
          <w:szCs w:val="28"/>
          <w:lang w:val="pt-BR" w:eastAsia="pt-BR"/>
        </w:rPr>
        <w:t xml:space="preserve"> permite</w:t>
      </w:r>
      <w:r w:rsidR="000C2C11">
        <w:rPr>
          <w:rFonts w:asciiTheme="minorHAnsi" w:eastAsia="Times New Roman" w:hAnsiTheme="minorHAnsi" w:cstheme="minorHAnsi"/>
          <w:color w:val="222222"/>
          <w:sz w:val="28"/>
          <w:szCs w:val="28"/>
          <w:lang w:val="pt-BR" w:eastAsia="pt-BR"/>
        </w:rPr>
        <w:t>m</w:t>
      </w:r>
      <w:r w:rsidRPr="0024512D">
        <w:rPr>
          <w:rFonts w:asciiTheme="minorHAnsi" w:eastAsia="Times New Roman" w:hAnsiTheme="minorHAnsi" w:cstheme="minorHAnsi"/>
          <w:color w:val="222222"/>
          <w:sz w:val="28"/>
          <w:szCs w:val="28"/>
          <w:lang w:val="pt-BR" w:eastAsia="pt-BR"/>
        </w:rPr>
        <w:t xml:space="preserve">. </w:t>
      </w:r>
      <w:r w:rsidR="000C2C11">
        <w:rPr>
          <w:rFonts w:asciiTheme="minorHAnsi" w:eastAsia="Times New Roman" w:hAnsiTheme="minorHAnsi" w:cstheme="minorHAnsi"/>
          <w:color w:val="222222"/>
          <w:sz w:val="28"/>
          <w:szCs w:val="28"/>
          <w:lang w:val="pt-BR" w:eastAsia="pt-BR"/>
        </w:rPr>
        <w:t>Com isto, estima-se menores investimentos e custos d</w:t>
      </w:r>
      <w:r w:rsidRPr="0024512D">
        <w:rPr>
          <w:rFonts w:asciiTheme="minorHAnsi" w:eastAsia="Times New Roman" w:hAnsiTheme="minorHAnsi" w:cstheme="minorHAnsi"/>
          <w:color w:val="222222"/>
          <w:sz w:val="28"/>
          <w:szCs w:val="28"/>
          <w:lang w:val="pt-BR" w:eastAsia="pt-BR"/>
        </w:rPr>
        <w:t>os projetos de automação das redes, refletindo diretamente nas tarifas cobradas aos usuários. </w:t>
      </w:r>
    </w:p>
    <w:p w14:paraId="5A93B1CC" w14:textId="38E1EF9F" w:rsidR="00E32BA9" w:rsidRPr="00E32BA9" w:rsidRDefault="00E32BA9" w:rsidP="00E32BA9">
      <w:pPr>
        <w:widowControl/>
        <w:shd w:val="clear" w:color="auto" w:fill="FFFFFF"/>
        <w:autoSpaceDE/>
        <w:autoSpaceDN/>
        <w:rPr>
          <w:rFonts w:asciiTheme="minorHAnsi" w:eastAsia="Times New Roman" w:hAnsiTheme="minorHAnsi" w:cstheme="minorHAnsi"/>
          <w:color w:val="222222"/>
          <w:sz w:val="28"/>
          <w:szCs w:val="28"/>
          <w:lang w:val="pt-BR" w:eastAsia="pt-BR"/>
        </w:rPr>
      </w:pPr>
      <w:r>
        <w:rPr>
          <w:rFonts w:asciiTheme="minorHAnsi" w:eastAsia="Times New Roman" w:hAnsiTheme="minorHAnsi" w:cstheme="minorHAnsi"/>
          <w:color w:val="222222"/>
          <w:sz w:val="28"/>
          <w:szCs w:val="28"/>
          <w:lang w:val="pt-BR" w:eastAsia="pt-BR"/>
        </w:rPr>
        <w:t>__________________________________________________________________________</w:t>
      </w:r>
    </w:p>
    <w:p w14:paraId="35178534" w14:textId="77777777" w:rsidR="00E32BA9" w:rsidRPr="0024512D" w:rsidRDefault="00E32BA9">
      <w:pPr>
        <w:pStyle w:val="Corpodetexto"/>
        <w:spacing w:before="9"/>
        <w:rPr>
          <w:rFonts w:asciiTheme="minorHAnsi" w:eastAsia="Times New Roman" w:hAnsiTheme="minorHAnsi" w:cstheme="minorHAnsi"/>
          <w:color w:val="222222"/>
          <w:sz w:val="28"/>
          <w:szCs w:val="28"/>
          <w:lang w:val="pt-BR" w:eastAsia="pt-BR"/>
        </w:rPr>
      </w:pPr>
    </w:p>
    <w:p w14:paraId="4EED9CB4" w14:textId="473E7504" w:rsidR="002C5594" w:rsidRPr="0024512D" w:rsidRDefault="002C5594">
      <w:pPr>
        <w:pStyle w:val="Corpodetexto"/>
        <w:tabs>
          <w:tab w:val="left" w:pos="2402"/>
        </w:tabs>
        <w:spacing w:before="15" w:line="223" w:lineRule="auto"/>
        <w:ind w:left="2387" w:right="422" w:hanging="2264"/>
        <w:rPr>
          <w:rFonts w:ascii="Verdana" w:hAnsi="Verdana"/>
          <w:b/>
          <w:color w:val="1C1C1C"/>
          <w:spacing w:val="-1"/>
          <w:w w:val="90"/>
          <w:sz w:val="28"/>
          <w:szCs w:val="28"/>
          <w:lang w:val="pt-BR"/>
        </w:rPr>
      </w:pPr>
    </w:p>
    <w:p w14:paraId="71058E71" w14:textId="77777777" w:rsidR="00CD7FC9" w:rsidRPr="0024512D" w:rsidRDefault="0081636A">
      <w:pPr>
        <w:pStyle w:val="Corpodetexto"/>
        <w:tabs>
          <w:tab w:val="left" w:pos="2402"/>
        </w:tabs>
        <w:spacing w:before="15" w:line="223" w:lineRule="auto"/>
        <w:ind w:left="2387" w:right="422" w:hanging="2264"/>
        <w:rPr>
          <w:color w:val="1C1C1C"/>
          <w:w w:val="90"/>
          <w:sz w:val="28"/>
          <w:szCs w:val="28"/>
          <w:lang w:val="pt-BR"/>
        </w:rPr>
      </w:pPr>
      <w:r w:rsidRPr="0024512D">
        <w:rPr>
          <w:rFonts w:ascii="Verdana" w:hAnsi="Verdana"/>
          <w:b/>
          <w:color w:val="1C1C1C"/>
          <w:spacing w:val="-1"/>
          <w:w w:val="90"/>
          <w:sz w:val="28"/>
          <w:szCs w:val="28"/>
          <w:lang w:val="pt-BR"/>
        </w:rPr>
        <w:lastRenderedPageBreak/>
        <w:t>ITEM:</w:t>
      </w:r>
      <w:r w:rsidRPr="0024512D">
        <w:rPr>
          <w:rFonts w:ascii="Verdana" w:hAnsi="Verdana"/>
          <w:b/>
          <w:color w:val="1C1C1C"/>
          <w:spacing w:val="7"/>
          <w:w w:val="90"/>
          <w:sz w:val="28"/>
          <w:szCs w:val="28"/>
          <w:lang w:val="pt-BR"/>
        </w:rPr>
        <w:t xml:space="preserve"> </w:t>
      </w:r>
      <w:r w:rsidRPr="0024512D">
        <w:rPr>
          <w:rFonts w:ascii="Verdana" w:hAnsi="Verdana"/>
          <w:b/>
          <w:color w:val="1C1C1C"/>
          <w:w w:val="90"/>
          <w:sz w:val="28"/>
          <w:szCs w:val="28"/>
          <w:lang w:val="pt-BR"/>
        </w:rPr>
        <w:t>Resolução,</w:t>
      </w:r>
      <w:r w:rsidRPr="0024512D">
        <w:rPr>
          <w:rFonts w:ascii="Verdana" w:hAnsi="Verdana"/>
          <w:b/>
          <w:color w:val="1C1C1C"/>
          <w:spacing w:val="-8"/>
          <w:w w:val="90"/>
          <w:sz w:val="28"/>
          <w:szCs w:val="28"/>
          <w:lang w:val="pt-BR"/>
        </w:rPr>
        <w:t xml:space="preserve"> </w:t>
      </w:r>
      <w:r w:rsidRPr="0024512D">
        <w:rPr>
          <w:rFonts w:ascii="Verdana" w:hAnsi="Verdana"/>
          <w:b/>
          <w:color w:val="1C1C1C"/>
          <w:w w:val="90"/>
          <w:sz w:val="28"/>
          <w:szCs w:val="28"/>
          <w:lang w:val="pt-BR"/>
        </w:rPr>
        <w:t>art.</w:t>
      </w:r>
      <w:r w:rsidRPr="0024512D">
        <w:rPr>
          <w:rFonts w:ascii="Verdana" w:hAnsi="Verdana"/>
          <w:b/>
          <w:color w:val="1C1C1C"/>
          <w:spacing w:val="-4"/>
          <w:w w:val="90"/>
          <w:sz w:val="28"/>
          <w:szCs w:val="28"/>
          <w:lang w:val="pt-BR"/>
        </w:rPr>
        <w:t xml:space="preserve"> </w:t>
      </w:r>
      <w:r w:rsidRPr="0024512D">
        <w:rPr>
          <w:color w:val="1C1C1C"/>
          <w:w w:val="90"/>
          <w:sz w:val="28"/>
          <w:szCs w:val="28"/>
          <w:lang w:val="pt-BR"/>
        </w:rPr>
        <w:t>9</w:t>
      </w:r>
      <w:r w:rsidR="00CD7FC9" w:rsidRPr="0024512D">
        <w:rPr>
          <w:color w:val="1C1C1C"/>
          <w:w w:val="90"/>
          <w:sz w:val="28"/>
          <w:szCs w:val="28"/>
          <w:lang w:val="pt-BR"/>
        </w:rPr>
        <w:t>º</w:t>
      </w:r>
      <w:r w:rsidRPr="0024512D">
        <w:rPr>
          <w:color w:val="1C1C1C"/>
          <w:w w:val="90"/>
          <w:sz w:val="28"/>
          <w:szCs w:val="28"/>
          <w:lang w:val="pt-BR"/>
        </w:rPr>
        <w:tab/>
      </w:r>
    </w:p>
    <w:p w14:paraId="50BAF31C" w14:textId="37591EF6" w:rsidR="00295213" w:rsidRPr="0024512D" w:rsidRDefault="0081636A">
      <w:pPr>
        <w:pStyle w:val="Corpodetexto"/>
        <w:tabs>
          <w:tab w:val="left" w:pos="2402"/>
        </w:tabs>
        <w:spacing w:before="15" w:line="223" w:lineRule="auto"/>
        <w:ind w:left="2387" w:right="422" w:hanging="2264"/>
        <w:rPr>
          <w:sz w:val="28"/>
          <w:szCs w:val="28"/>
          <w:lang w:val="pt-BR"/>
        </w:rPr>
      </w:pPr>
      <w:r w:rsidRPr="0024512D">
        <w:rPr>
          <w:color w:val="1C1C1C"/>
          <w:w w:val="90"/>
          <w:sz w:val="28"/>
          <w:szCs w:val="28"/>
          <w:lang w:val="pt-BR"/>
        </w:rPr>
        <w:tab/>
      </w:r>
    </w:p>
    <w:p w14:paraId="237E1785" w14:textId="6B3BEDF2" w:rsidR="00CD7FC9" w:rsidRPr="0024512D" w:rsidRDefault="00CD7FC9" w:rsidP="00CD7FC9">
      <w:pPr>
        <w:ind w:left="284"/>
        <w:jc w:val="both"/>
        <w:rPr>
          <w:rFonts w:asciiTheme="minorHAnsi" w:hAnsiTheme="minorHAnsi" w:cstheme="minorHAnsi"/>
          <w:sz w:val="28"/>
          <w:szCs w:val="28"/>
          <w:lang w:val="pt-BR"/>
        </w:rPr>
      </w:pPr>
      <w:r w:rsidRPr="0024512D">
        <w:rPr>
          <w:rFonts w:asciiTheme="minorHAnsi" w:hAnsiTheme="minorHAnsi" w:cstheme="minorHAnsi"/>
          <w:sz w:val="28"/>
          <w:szCs w:val="28"/>
          <w:lang w:val="pt-BR"/>
        </w:rPr>
        <w:t>Destinar as subfaixas de radiofrequências de 905 MHz a 907,5 MHz e de 950 MHz a 952,5 MHz adicionalmente ao Serviço Móvel Pessoal (SMP), ao Serviço de Comunicação Multimídia (SCM) e ao Serviço Limitado Privado (SLP), todos em caráter primário, e ao Serviço Telefônico Fixo Comutado (STFC), em caráter secundário.</w:t>
      </w:r>
    </w:p>
    <w:p w14:paraId="75244330" w14:textId="77777777" w:rsidR="002451B5" w:rsidRPr="0024512D" w:rsidRDefault="002451B5" w:rsidP="00CD7FC9">
      <w:pPr>
        <w:ind w:left="284"/>
        <w:jc w:val="both"/>
        <w:rPr>
          <w:rFonts w:asciiTheme="minorHAnsi" w:hAnsiTheme="minorHAnsi" w:cstheme="minorHAnsi"/>
          <w:sz w:val="28"/>
          <w:szCs w:val="28"/>
          <w:lang w:val="pt-BR"/>
        </w:rPr>
      </w:pPr>
    </w:p>
    <w:p w14:paraId="138304E5" w14:textId="77777777" w:rsidR="00CD7FC9" w:rsidRPr="0024512D" w:rsidRDefault="00CD7FC9" w:rsidP="00CD7FC9">
      <w:pPr>
        <w:ind w:left="280"/>
        <w:rPr>
          <w:rFonts w:asciiTheme="minorHAnsi" w:hAnsiTheme="minorHAnsi" w:cstheme="minorHAnsi"/>
          <w:sz w:val="28"/>
          <w:szCs w:val="28"/>
          <w:lang w:val="pt-BR"/>
        </w:rPr>
      </w:pPr>
    </w:p>
    <w:p w14:paraId="08BC0FD4" w14:textId="77777777" w:rsidR="002C5594" w:rsidRPr="0024512D" w:rsidRDefault="0081636A" w:rsidP="002C5594">
      <w:pPr>
        <w:spacing w:before="1"/>
        <w:ind w:left="284"/>
        <w:rPr>
          <w:rFonts w:ascii="Verdana" w:hAnsi="Verdana"/>
          <w:b/>
          <w:sz w:val="28"/>
          <w:szCs w:val="28"/>
          <w:lang w:val="pt-BR"/>
        </w:rPr>
      </w:pPr>
      <w:r w:rsidRPr="0024512D">
        <w:rPr>
          <w:rFonts w:ascii="Verdana" w:hAnsi="Verdana"/>
          <w:b/>
          <w:sz w:val="28"/>
          <w:szCs w:val="28"/>
          <w:lang w:val="pt-BR"/>
        </w:rPr>
        <w:t>CONTRIBUIÇÃO:</w:t>
      </w:r>
      <w:r w:rsidR="002C5594" w:rsidRPr="0024512D">
        <w:rPr>
          <w:rFonts w:ascii="Verdana" w:hAnsi="Verdana"/>
          <w:b/>
          <w:sz w:val="28"/>
          <w:szCs w:val="28"/>
          <w:lang w:val="pt-BR"/>
        </w:rPr>
        <w:t xml:space="preserve"> </w:t>
      </w:r>
    </w:p>
    <w:p w14:paraId="79EE7A21" w14:textId="77777777" w:rsidR="002C5594" w:rsidRPr="0024512D" w:rsidRDefault="002C5594" w:rsidP="002C5594">
      <w:pPr>
        <w:spacing w:before="1"/>
        <w:ind w:left="284"/>
        <w:rPr>
          <w:rFonts w:ascii="Verdana" w:hAnsi="Verdana"/>
          <w:b/>
          <w:sz w:val="28"/>
          <w:szCs w:val="28"/>
          <w:lang w:val="pt-BR"/>
        </w:rPr>
      </w:pPr>
    </w:p>
    <w:p w14:paraId="5C97945F" w14:textId="31B7F994" w:rsidR="00295213" w:rsidRPr="0024512D" w:rsidRDefault="002C5594" w:rsidP="002C5594">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Solicitamos que esta proposta de alteração deva ser precedida de um estudo de impacto técnico e econômico nos sistemas que atualmente operam na faixa de frequências em pauta, bem como seja mantido o status quo regulatório, descartando as alterações propostas nessa CP 052. Ressalta-se que a necessidade de um ambiente de segurança regulatória, quer seja no âmbito da Aneel e da Anatel, é fundamental para que as concessionárias de energia elétrica, água e gás continuem investindo na modernização de seus sistemas, inclusive telecomunicações, de forma a fomentar o desenvolvimento destes setores no cenário nacional.</w:t>
      </w:r>
    </w:p>
    <w:p w14:paraId="3E23EA03" w14:textId="77777777" w:rsidR="00295213" w:rsidRPr="0024512D" w:rsidRDefault="00295213">
      <w:pPr>
        <w:pStyle w:val="Corpodetexto"/>
        <w:rPr>
          <w:rFonts w:ascii="Verdana"/>
          <w:b/>
          <w:sz w:val="28"/>
          <w:szCs w:val="28"/>
          <w:lang w:val="pt-BR"/>
        </w:rPr>
      </w:pPr>
    </w:p>
    <w:p w14:paraId="1FAD07E3" w14:textId="005A61FC" w:rsidR="00295213" w:rsidRPr="0024512D" w:rsidRDefault="0081636A" w:rsidP="00DD26CF">
      <w:pPr>
        <w:spacing w:before="1"/>
        <w:ind w:left="284"/>
        <w:rPr>
          <w:rFonts w:ascii="Verdana"/>
          <w:b/>
          <w:sz w:val="28"/>
          <w:szCs w:val="28"/>
          <w:lang w:val="pt-BR"/>
        </w:rPr>
      </w:pPr>
      <w:r w:rsidRPr="0024512D">
        <w:rPr>
          <w:rFonts w:ascii="Verdana"/>
          <w:b/>
          <w:sz w:val="28"/>
          <w:szCs w:val="28"/>
          <w:lang w:val="pt-BR"/>
        </w:rPr>
        <w:t>JUSTIFICATIVA:</w:t>
      </w:r>
    </w:p>
    <w:p w14:paraId="266DA02B" w14:textId="77777777" w:rsidR="00DD26CF" w:rsidRPr="0024512D" w:rsidRDefault="00DD26CF">
      <w:pPr>
        <w:spacing w:before="1"/>
        <w:ind w:left="117"/>
        <w:rPr>
          <w:rFonts w:ascii="Verdana"/>
          <w:b/>
          <w:sz w:val="28"/>
          <w:szCs w:val="28"/>
          <w:lang w:val="pt-BR"/>
        </w:rPr>
      </w:pPr>
    </w:p>
    <w:p w14:paraId="75DD5954"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Atualmente existem sistemas de comunicação operando na faixa ISM que atendem as demandas de AMI (</w:t>
      </w:r>
      <w:proofErr w:type="spellStart"/>
      <w:r w:rsidRPr="0024512D">
        <w:rPr>
          <w:rFonts w:asciiTheme="minorHAnsi" w:eastAsia="Times New Roman" w:hAnsiTheme="minorHAnsi" w:cstheme="minorHAnsi"/>
          <w:color w:val="222222"/>
          <w:sz w:val="28"/>
          <w:szCs w:val="28"/>
          <w:lang w:val="pt-BR" w:eastAsia="pt-BR"/>
        </w:rPr>
        <w:t>Advanced</w:t>
      </w:r>
      <w:proofErr w:type="spellEnd"/>
      <w:r w:rsidRPr="0024512D">
        <w:rPr>
          <w:rFonts w:asciiTheme="minorHAnsi" w:eastAsia="Times New Roman" w:hAnsiTheme="minorHAnsi" w:cstheme="minorHAnsi"/>
          <w:color w:val="222222"/>
          <w:sz w:val="28"/>
          <w:szCs w:val="28"/>
          <w:lang w:val="pt-BR" w:eastAsia="pt-BR"/>
        </w:rPr>
        <w:t xml:space="preserve"> </w:t>
      </w:r>
      <w:proofErr w:type="spellStart"/>
      <w:r w:rsidRPr="0024512D">
        <w:rPr>
          <w:rFonts w:asciiTheme="minorHAnsi" w:eastAsia="Times New Roman" w:hAnsiTheme="minorHAnsi" w:cstheme="minorHAnsi"/>
          <w:color w:val="222222"/>
          <w:sz w:val="28"/>
          <w:szCs w:val="28"/>
          <w:lang w:val="pt-BR" w:eastAsia="pt-BR"/>
        </w:rPr>
        <w:t>Metering</w:t>
      </w:r>
      <w:proofErr w:type="spellEnd"/>
      <w:r w:rsidRPr="0024512D">
        <w:rPr>
          <w:rFonts w:asciiTheme="minorHAnsi" w:eastAsia="Times New Roman" w:hAnsiTheme="minorHAnsi" w:cstheme="minorHAnsi"/>
          <w:color w:val="222222"/>
          <w:sz w:val="28"/>
          <w:szCs w:val="28"/>
          <w:lang w:val="pt-BR" w:eastAsia="pt-BR"/>
        </w:rPr>
        <w:t xml:space="preserve"> </w:t>
      </w:r>
      <w:proofErr w:type="spellStart"/>
      <w:r w:rsidRPr="0024512D">
        <w:rPr>
          <w:rFonts w:asciiTheme="minorHAnsi" w:eastAsia="Times New Roman" w:hAnsiTheme="minorHAnsi" w:cstheme="minorHAnsi"/>
          <w:color w:val="222222"/>
          <w:sz w:val="28"/>
          <w:szCs w:val="28"/>
          <w:lang w:val="pt-BR" w:eastAsia="pt-BR"/>
        </w:rPr>
        <w:t>Infraestructure</w:t>
      </w:r>
      <w:proofErr w:type="spellEnd"/>
      <w:r w:rsidRPr="0024512D">
        <w:rPr>
          <w:rFonts w:asciiTheme="minorHAnsi" w:eastAsia="Times New Roman" w:hAnsiTheme="minorHAnsi" w:cstheme="minorHAnsi"/>
          <w:color w:val="222222"/>
          <w:sz w:val="28"/>
          <w:szCs w:val="28"/>
          <w:lang w:val="pt-BR" w:eastAsia="pt-BR"/>
        </w:rPr>
        <w:t>) em várias Distribuidoras de energia elétrica e instalados em regiões metropolitanas e áreas urbanas em todo o Brasil. Esses sistemas de telecom se destinam a comunicação bidirecional dos milhões de medidores de energia elétrica instalados em consumidores industriais, comerciais e residenciais.</w:t>
      </w:r>
    </w:p>
    <w:p w14:paraId="47B8ED37"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Uma análise criteriosa das soluções de mercado para a comunicação de dados entre os vários elementos das redes elétricas inteligentes, tem levado as concessionárias de distribuição de energia a utilizarem radiofrequências como solução com melhor viabilidade técnica para cobrir grandes áreas, pois possui a</w:t>
      </w:r>
    </w:p>
    <w:p w14:paraId="1C714102"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capacidade para conectar terminais na escala desejada, além de ser adaptável aos vários cenários possíveis. E dentre as tecnologias de radiopropagação ofertadas pelo mercado, destacam-se as que utilizam a faixa de frequências de 900 MHz, uma vez que tal faixa possui uma boa eficiência de propagação e seus equipamentos trabalham com baixa potência e com grande sensibilidade de recepção, com as soluções presentes no mercado operando nas subfaixas destinadas à Radiação Restrita.</w:t>
      </w:r>
    </w:p>
    <w:p w14:paraId="3FD79E07"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 xml:space="preserve">Os sistemas wireless existentes utilizam a topologia de rede </w:t>
      </w:r>
      <w:proofErr w:type="spellStart"/>
      <w:r w:rsidRPr="0024512D">
        <w:rPr>
          <w:rFonts w:asciiTheme="minorHAnsi" w:eastAsia="Times New Roman" w:hAnsiTheme="minorHAnsi" w:cstheme="minorHAnsi"/>
          <w:color w:val="222222"/>
          <w:sz w:val="28"/>
          <w:szCs w:val="28"/>
          <w:lang w:val="pt-BR" w:eastAsia="pt-BR"/>
        </w:rPr>
        <w:t>Mesh</w:t>
      </w:r>
      <w:proofErr w:type="spellEnd"/>
      <w:r w:rsidRPr="0024512D">
        <w:rPr>
          <w:rFonts w:asciiTheme="minorHAnsi" w:eastAsia="Times New Roman" w:hAnsiTheme="minorHAnsi" w:cstheme="minorHAnsi"/>
          <w:color w:val="222222"/>
          <w:sz w:val="28"/>
          <w:szCs w:val="28"/>
          <w:lang w:val="pt-BR" w:eastAsia="pt-BR"/>
        </w:rPr>
        <w:t xml:space="preserve"> operando na faixa de 902 a 907,5 MHz e 915 a 928 MHz.</w:t>
      </w:r>
    </w:p>
    <w:p w14:paraId="4DD64424"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Desta forma, caso seja destinada a subfaixa de 905 a 907,5 MHz adicionalmente aos serviços SMP, SCM, SLP e STFC, como proposto pela Anatel na CP 052, os sistemas existentes e em operação na maioria das Distribuidoras poderão sofrer interferências prejudiciais, ocasionando indisponibilidades que prejudicarão a operação do sistema de distribuição de energia elétrica.</w:t>
      </w:r>
    </w:p>
    <w:p w14:paraId="3000EB80"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lastRenderedPageBreak/>
        <w:t>O planejamento do espectro de radiofrequências para o novo cenário proposto na CP 052 será muito complexo, tanto pelo quantitativo de transceptores envolvidos, quanto pelo potencial de utilização em outros serviços como os SMP, SCM e STFC.</w:t>
      </w:r>
    </w:p>
    <w:p w14:paraId="2E575FD9"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Considerando apenas o SLP, cabe salientar a característica técnica dos medidores inteligentes. Por serem equipamentos de borda, caracterizam-se pela simplicidade tecnológica e não possuem opções em seus sistemas operacionais embarcados que permitam a escolha dos canais de radiofrequência a serem usados. Logo, alterações na canalização utilizada só poderão ser implementadas, em alguns casos, através de atualizações diretas no firmware dos equipamentos, e em outros casos com alterações do próprio hardware.</w:t>
      </w:r>
    </w:p>
    <w:p w14:paraId="6904D335"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No primeiro caso - alteração de firmware - as atualizações implicam na substituição do sistema operacional embarcado atual por outro com as devidas modificações técnicas, necessitando ainda a reinicialização de cada um dos medidores inteligentes para que as alterações sejam realmente adotadas. Deve-se também atentar, neste caso, que as soluções existentes não possuem ferramentas avançadas de gerência de elementos de rede, sendo de extrema complexidade a tarefa de implementar atualizações numa rede com centenas de milhares de equipamentos. As atualizações não poderão acontecer em grandes blocos, visto a possibilidade de congestionar os nós da rede - por premissa os canais de comunicação possuem baixa capacidade de transmissão de dados – e também pelo risco de vários medidores falharem na reinicialização e/ou na adoção das alterações, resultando em interrupção de energia elétrica aos consumidores.</w:t>
      </w:r>
    </w:p>
    <w:p w14:paraId="79278E1D"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No segundo caso - alteração do hardware – a tarefa é hercúlea e onerosa, visto que será necessário substituir, in loco, todo ou parte de cada medidor inteligente. Desta forma, conclui-se que um processo de atualização massiva de medidores inteligentes será moroso, complexo e com custo elevado.</w:t>
      </w:r>
    </w:p>
    <w:p w14:paraId="7D83E405"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Através deste sistema são prestados os serviços de leitura para faturamento, corte e religamento individualizado do fornecimento de energia elétrica, monitoramento da qualidade e disponibilidade da rede elétrica de distribuição, entre outros serviços essenciais necessários para o cumprimento das obrigações regulatórias exigidos dos contratos de concessão de distribuição de energia e às normas e regulamentos da ANEEL (Agência nacional de energia elétrica).</w:t>
      </w:r>
    </w:p>
    <w:p w14:paraId="47CF8CD3" w14:textId="77777777" w:rsidR="00DD26CF" w:rsidRPr="0024512D" w:rsidRDefault="00DD26CF" w:rsidP="00DD26CF">
      <w:pPr>
        <w:spacing w:before="1"/>
        <w:ind w:left="851"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As adequações necessárias nos equipamentos de telecom existentes para mitigar os riscos de interferência nesse novo cenário exigirão recursos financeiros não previstos pelas Distribuidoras.</w:t>
      </w:r>
    </w:p>
    <w:p w14:paraId="4C146196" w14:textId="77777777" w:rsidR="00295213" w:rsidRPr="0024512D" w:rsidRDefault="00295213">
      <w:pPr>
        <w:pStyle w:val="Corpodetexto"/>
        <w:rPr>
          <w:rFonts w:ascii="Verdana"/>
          <w:b/>
          <w:sz w:val="28"/>
          <w:szCs w:val="28"/>
          <w:lang w:val="pt-BR"/>
        </w:rPr>
      </w:pPr>
    </w:p>
    <w:p w14:paraId="55CD4FB9" w14:textId="7C54DD1B" w:rsidR="00295213" w:rsidRPr="0024512D" w:rsidRDefault="00341ED4">
      <w:pPr>
        <w:pStyle w:val="Corpodetexto"/>
        <w:rPr>
          <w:rFonts w:ascii="Arial"/>
          <w:sz w:val="28"/>
          <w:szCs w:val="28"/>
          <w:lang w:val="pt-BR"/>
        </w:rPr>
      </w:pPr>
      <w:r>
        <w:rPr>
          <w:rFonts w:ascii="Arial"/>
          <w:sz w:val="28"/>
          <w:szCs w:val="28"/>
          <w:lang w:val="pt-BR"/>
        </w:rPr>
        <w:t>_________________________________________________________________</w:t>
      </w:r>
    </w:p>
    <w:p w14:paraId="36F9A8F1" w14:textId="1BC6CFA4" w:rsidR="00341ED4" w:rsidRDefault="00341ED4">
      <w:pPr>
        <w:rPr>
          <w:color w:val="202020"/>
          <w:spacing w:val="-4"/>
          <w:sz w:val="28"/>
          <w:szCs w:val="28"/>
          <w:lang w:val="pt-BR"/>
        </w:rPr>
      </w:pPr>
      <w:r>
        <w:rPr>
          <w:color w:val="202020"/>
          <w:spacing w:val="-4"/>
          <w:sz w:val="28"/>
          <w:szCs w:val="28"/>
          <w:lang w:val="pt-BR"/>
        </w:rPr>
        <w:br w:type="page"/>
      </w:r>
    </w:p>
    <w:p w14:paraId="22D2F101" w14:textId="09E0BC4D" w:rsidR="00295213" w:rsidRPr="0024512D" w:rsidRDefault="0081636A" w:rsidP="00341ED4">
      <w:pPr>
        <w:spacing w:before="100" w:line="242" w:lineRule="auto"/>
        <w:ind w:left="124" w:right="5827"/>
        <w:rPr>
          <w:rFonts w:ascii="Verdana" w:hAnsi="Verdana"/>
          <w:b/>
          <w:sz w:val="28"/>
          <w:szCs w:val="28"/>
          <w:lang w:val="pt-BR"/>
        </w:rPr>
      </w:pPr>
      <w:r w:rsidRPr="0024512D">
        <w:rPr>
          <w:rFonts w:ascii="Verdana" w:hAnsi="Verdana"/>
          <w:b/>
          <w:color w:val="202020"/>
          <w:spacing w:val="-2"/>
          <w:w w:val="90"/>
          <w:sz w:val="28"/>
          <w:szCs w:val="28"/>
          <w:lang w:val="pt-BR"/>
        </w:rPr>
        <w:lastRenderedPageBreak/>
        <w:t>ITEM:</w:t>
      </w:r>
      <w:r w:rsidRPr="0024512D">
        <w:rPr>
          <w:rFonts w:ascii="Verdana" w:hAnsi="Verdana"/>
          <w:b/>
          <w:color w:val="202020"/>
          <w:spacing w:val="9"/>
          <w:w w:val="90"/>
          <w:sz w:val="28"/>
          <w:szCs w:val="28"/>
          <w:lang w:val="pt-BR"/>
        </w:rPr>
        <w:t xml:space="preserve"> </w:t>
      </w:r>
      <w:r w:rsidR="00341ED4">
        <w:rPr>
          <w:rFonts w:ascii="Verdana" w:hAnsi="Verdana"/>
          <w:b/>
          <w:color w:val="202020"/>
          <w:spacing w:val="9"/>
          <w:w w:val="90"/>
          <w:sz w:val="28"/>
          <w:szCs w:val="28"/>
          <w:lang w:val="pt-BR"/>
        </w:rPr>
        <w:t xml:space="preserve"> </w:t>
      </w:r>
      <w:r w:rsidRPr="0024512D">
        <w:rPr>
          <w:rFonts w:ascii="Verdana" w:hAnsi="Verdana"/>
          <w:b/>
          <w:color w:val="202020"/>
          <w:spacing w:val="-1"/>
          <w:w w:val="90"/>
          <w:sz w:val="28"/>
          <w:szCs w:val="28"/>
          <w:lang w:val="pt-BR"/>
        </w:rPr>
        <w:t>Regulamento,</w:t>
      </w:r>
      <w:r w:rsidRPr="0024512D">
        <w:rPr>
          <w:rFonts w:ascii="Verdana" w:hAnsi="Verdana"/>
          <w:b/>
          <w:color w:val="202020"/>
          <w:spacing w:val="-7"/>
          <w:w w:val="90"/>
          <w:sz w:val="28"/>
          <w:szCs w:val="28"/>
          <w:lang w:val="pt-BR"/>
        </w:rPr>
        <w:t xml:space="preserve"> </w:t>
      </w:r>
      <w:r w:rsidRPr="0024512D">
        <w:rPr>
          <w:rFonts w:ascii="Verdana" w:hAnsi="Verdana"/>
          <w:b/>
          <w:color w:val="202020"/>
          <w:spacing w:val="-1"/>
          <w:w w:val="90"/>
          <w:sz w:val="28"/>
          <w:szCs w:val="28"/>
          <w:lang w:val="pt-BR"/>
        </w:rPr>
        <w:t>art.</w:t>
      </w:r>
      <w:r w:rsidRPr="0024512D">
        <w:rPr>
          <w:rFonts w:ascii="Verdana" w:hAnsi="Verdana"/>
          <w:b/>
          <w:color w:val="202020"/>
          <w:spacing w:val="-47"/>
          <w:w w:val="90"/>
          <w:sz w:val="28"/>
          <w:szCs w:val="28"/>
          <w:lang w:val="pt-BR"/>
        </w:rPr>
        <w:t xml:space="preserve"> </w:t>
      </w:r>
      <w:r w:rsidR="00E32BA9">
        <w:rPr>
          <w:rFonts w:ascii="Verdana" w:hAnsi="Verdana"/>
          <w:b/>
          <w:color w:val="202020"/>
          <w:spacing w:val="-47"/>
          <w:w w:val="90"/>
          <w:sz w:val="28"/>
          <w:szCs w:val="28"/>
          <w:lang w:val="pt-BR"/>
        </w:rPr>
        <w:t xml:space="preserve"> </w:t>
      </w:r>
      <w:r w:rsidRPr="0024512D">
        <w:rPr>
          <w:rFonts w:ascii="Verdana" w:hAnsi="Verdana"/>
          <w:b/>
          <w:color w:val="202020"/>
          <w:w w:val="90"/>
          <w:sz w:val="28"/>
          <w:szCs w:val="28"/>
          <w:lang w:val="pt-BR"/>
        </w:rPr>
        <w:t>6</w:t>
      </w:r>
      <w:r w:rsidR="00820DBC" w:rsidRPr="0024512D">
        <w:rPr>
          <w:rFonts w:ascii="Verdana" w:hAnsi="Verdana"/>
          <w:b/>
          <w:color w:val="202020"/>
          <w:w w:val="90"/>
          <w:position w:val="5"/>
          <w:sz w:val="28"/>
          <w:szCs w:val="28"/>
          <w:lang w:val="pt-BR"/>
        </w:rPr>
        <w:t>°</w:t>
      </w:r>
      <w:r w:rsidR="00820DBC" w:rsidRPr="0024512D">
        <w:rPr>
          <w:rFonts w:ascii="Verdana" w:hAnsi="Verdana"/>
          <w:b/>
          <w:color w:val="202020"/>
          <w:spacing w:val="-11"/>
          <w:w w:val="90"/>
          <w:position w:val="5"/>
          <w:sz w:val="28"/>
          <w:szCs w:val="28"/>
          <w:lang w:val="pt-BR"/>
        </w:rPr>
        <w:t>,</w:t>
      </w:r>
      <w:r w:rsidRPr="0024512D">
        <w:rPr>
          <w:rFonts w:ascii="Verdana" w:hAnsi="Verdana"/>
          <w:b/>
          <w:color w:val="202020"/>
          <w:spacing w:val="-1"/>
          <w:w w:val="90"/>
          <w:sz w:val="28"/>
          <w:szCs w:val="28"/>
          <w:lang w:val="pt-BR"/>
        </w:rPr>
        <w:t xml:space="preserve"> </w:t>
      </w:r>
      <w:r w:rsidRPr="0024512D">
        <w:rPr>
          <w:rFonts w:ascii="Verdana" w:hAnsi="Verdana"/>
          <w:b/>
          <w:color w:val="202020"/>
          <w:w w:val="90"/>
          <w:sz w:val="28"/>
          <w:szCs w:val="28"/>
          <w:lang w:val="pt-BR"/>
        </w:rPr>
        <w:t>caput</w:t>
      </w:r>
    </w:p>
    <w:p w14:paraId="3ED87B62" w14:textId="1F241DA3" w:rsidR="00295213" w:rsidRPr="0024512D" w:rsidRDefault="002451B5" w:rsidP="002451B5">
      <w:pPr>
        <w:pStyle w:val="Corpodetexto"/>
        <w:spacing w:before="103"/>
        <w:ind w:left="142"/>
        <w:rPr>
          <w:sz w:val="28"/>
          <w:szCs w:val="28"/>
          <w:lang w:val="pt-BR"/>
        </w:rPr>
      </w:pPr>
      <w:r w:rsidRPr="0024512D">
        <w:rPr>
          <w:color w:val="202020"/>
          <w:spacing w:val="-4"/>
          <w:sz w:val="28"/>
          <w:szCs w:val="28"/>
          <w:lang w:val="pt-BR"/>
        </w:rPr>
        <w:t>SEÇÃO</w:t>
      </w:r>
      <w:r w:rsidRPr="0024512D">
        <w:rPr>
          <w:color w:val="202020"/>
          <w:spacing w:val="-12"/>
          <w:sz w:val="28"/>
          <w:szCs w:val="28"/>
          <w:lang w:val="pt-BR"/>
        </w:rPr>
        <w:t xml:space="preserve"> </w:t>
      </w:r>
      <w:r w:rsidRPr="0024512D">
        <w:rPr>
          <w:color w:val="202020"/>
          <w:spacing w:val="-3"/>
          <w:sz w:val="28"/>
          <w:szCs w:val="28"/>
          <w:lang w:val="pt-BR"/>
        </w:rPr>
        <w:t xml:space="preserve">II </w:t>
      </w:r>
      <w:r w:rsidR="0081636A" w:rsidRPr="0024512D">
        <w:rPr>
          <w:color w:val="202020"/>
          <w:spacing w:val="-4"/>
          <w:sz w:val="28"/>
          <w:szCs w:val="28"/>
          <w:lang w:val="pt-BR"/>
        </w:rPr>
        <w:t xml:space="preserve">DA </w:t>
      </w:r>
      <w:r w:rsidR="0081636A" w:rsidRPr="0024512D">
        <w:rPr>
          <w:color w:val="202020"/>
          <w:spacing w:val="-3"/>
          <w:sz w:val="28"/>
          <w:szCs w:val="28"/>
          <w:lang w:val="pt-BR"/>
        </w:rPr>
        <w:t>FAIXA</w:t>
      </w:r>
      <w:r w:rsidR="0081636A" w:rsidRPr="0024512D">
        <w:rPr>
          <w:color w:val="202020"/>
          <w:spacing w:val="-5"/>
          <w:sz w:val="28"/>
          <w:szCs w:val="28"/>
          <w:lang w:val="pt-BR"/>
        </w:rPr>
        <w:t xml:space="preserve"> </w:t>
      </w:r>
      <w:r w:rsidR="0081636A" w:rsidRPr="0024512D">
        <w:rPr>
          <w:color w:val="202020"/>
          <w:spacing w:val="-3"/>
          <w:sz w:val="28"/>
          <w:szCs w:val="28"/>
          <w:lang w:val="pt-BR"/>
        </w:rPr>
        <w:t>DE</w:t>
      </w:r>
      <w:r w:rsidR="0081636A" w:rsidRPr="0024512D">
        <w:rPr>
          <w:color w:val="202020"/>
          <w:spacing w:val="-6"/>
          <w:sz w:val="28"/>
          <w:szCs w:val="28"/>
          <w:lang w:val="pt-BR"/>
        </w:rPr>
        <w:t xml:space="preserve"> </w:t>
      </w:r>
      <w:r w:rsidR="0081636A" w:rsidRPr="0024512D">
        <w:rPr>
          <w:color w:val="202020"/>
          <w:spacing w:val="-3"/>
          <w:sz w:val="28"/>
          <w:szCs w:val="28"/>
          <w:lang w:val="pt-BR"/>
        </w:rPr>
        <w:t>450</w:t>
      </w:r>
      <w:r w:rsidR="0081636A" w:rsidRPr="0024512D">
        <w:rPr>
          <w:color w:val="202020"/>
          <w:sz w:val="28"/>
          <w:szCs w:val="28"/>
          <w:lang w:val="pt-BR"/>
        </w:rPr>
        <w:t xml:space="preserve"> </w:t>
      </w:r>
      <w:r w:rsidR="0081636A" w:rsidRPr="0024512D">
        <w:rPr>
          <w:color w:val="202020"/>
          <w:spacing w:val="-3"/>
          <w:sz w:val="28"/>
          <w:szCs w:val="28"/>
          <w:lang w:val="pt-BR"/>
        </w:rPr>
        <w:t>MHz</w:t>
      </w:r>
      <w:r w:rsidR="0081636A" w:rsidRPr="0024512D">
        <w:rPr>
          <w:color w:val="202020"/>
          <w:spacing w:val="-12"/>
          <w:sz w:val="28"/>
          <w:szCs w:val="28"/>
          <w:lang w:val="pt-BR"/>
        </w:rPr>
        <w:t xml:space="preserve"> </w:t>
      </w:r>
      <w:r w:rsidR="0081636A" w:rsidRPr="0024512D">
        <w:rPr>
          <w:color w:val="202020"/>
          <w:spacing w:val="-3"/>
          <w:sz w:val="28"/>
          <w:szCs w:val="28"/>
          <w:lang w:val="pt-BR"/>
        </w:rPr>
        <w:t>A</w:t>
      </w:r>
      <w:r w:rsidR="0081636A" w:rsidRPr="0024512D">
        <w:rPr>
          <w:color w:val="202020"/>
          <w:spacing w:val="-13"/>
          <w:sz w:val="28"/>
          <w:szCs w:val="28"/>
          <w:lang w:val="pt-BR"/>
        </w:rPr>
        <w:t xml:space="preserve"> </w:t>
      </w:r>
      <w:r w:rsidR="0081636A" w:rsidRPr="0024512D">
        <w:rPr>
          <w:color w:val="202020"/>
          <w:spacing w:val="-3"/>
          <w:sz w:val="28"/>
          <w:szCs w:val="28"/>
          <w:lang w:val="pt-BR"/>
        </w:rPr>
        <w:t>470</w:t>
      </w:r>
      <w:r w:rsidR="0081636A" w:rsidRPr="0024512D">
        <w:rPr>
          <w:color w:val="202020"/>
          <w:sz w:val="28"/>
          <w:szCs w:val="28"/>
          <w:lang w:val="pt-BR"/>
        </w:rPr>
        <w:t xml:space="preserve"> </w:t>
      </w:r>
      <w:r w:rsidR="0081636A" w:rsidRPr="0024512D">
        <w:rPr>
          <w:color w:val="202020"/>
          <w:spacing w:val="-3"/>
          <w:sz w:val="28"/>
          <w:szCs w:val="28"/>
          <w:lang w:val="pt-BR"/>
        </w:rPr>
        <w:t>MHz</w:t>
      </w:r>
    </w:p>
    <w:p w14:paraId="120231A0" w14:textId="77777777" w:rsidR="00295213" w:rsidRPr="0024512D" w:rsidRDefault="00295213">
      <w:pPr>
        <w:pStyle w:val="Corpodetexto"/>
        <w:rPr>
          <w:sz w:val="28"/>
          <w:szCs w:val="28"/>
          <w:lang w:val="pt-BR"/>
        </w:rPr>
      </w:pPr>
    </w:p>
    <w:p w14:paraId="6B21B4B8" w14:textId="593ED67B" w:rsidR="00DD26CF" w:rsidRPr="0024512D" w:rsidRDefault="0081636A" w:rsidP="002451B5">
      <w:pPr>
        <w:spacing w:before="149"/>
        <w:ind w:left="284"/>
        <w:rPr>
          <w:rFonts w:ascii="Verdana" w:hAnsi="Verdana"/>
          <w:b/>
          <w:color w:val="202020"/>
          <w:sz w:val="28"/>
          <w:szCs w:val="28"/>
          <w:lang w:val="pt-BR"/>
        </w:rPr>
      </w:pPr>
      <w:r w:rsidRPr="0024512D">
        <w:rPr>
          <w:rFonts w:ascii="Verdana" w:hAnsi="Verdana"/>
          <w:b/>
          <w:color w:val="202020"/>
          <w:sz w:val="28"/>
          <w:szCs w:val="28"/>
          <w:lang w:val="pt-BR"/>
        </w:rPr>
        <w:t>CONTRIBUIÇÃO:</w:t>
      </w:r>
    </w:p>
    <w:p w14:paraId="72D2A25B" w14:textId="6F54F5DF" w:rsidR="00DD26CF" w:rsidRPr="0024512D" w:rsidRDefault="00DD26CF" w:rsidP="00E32BA9">
      <w:pPr>
        <w:spacing w:before="1"/>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Vimos solicitar a destinação das faixas de frequências compreendidas entre 451 e 458 MHz e 461 e 468 MHz, para o SLP, em caráter primário e nas mesmas condições técnicas de uso desta faixa de frequências dispostas atualmente para o SMP.</w:t>
      </w:r>
    </w:p>
    <w:p w14:paraId="6CD4E070" w14:textId="77777777" w:rsidR="00295213" w:rsidRPr="0024512D" w:rsidRDefault="00295213">
      <w:pPr>
        <w:pStyle w:val="Corpodetexto"/>
        <w:rPr>
          <w:rFonts w:ascii="Verdana"/>
          <w:b/>
          <w:sz w:val="28"/>
          <w:szCs w:val="28"/>
          <w:lang w:val="pt-BR"/>
        </w:rPr>
      </w:pPr>
    </w:p>
    <w:p w14:paraId="34D9CCB6" w14:textId="77777777" w:rsidR="00295213" w:rsidRPr="0024512D" w:rsidRDefault="0081636A" w:rsidP="000A5373">
      <w:pPr>
        <w:spacing w:before="1"/>
        <w:ind w:left="284"/>
        <w:rPr>
          <w:rFonts w:ascii="Verdana"/>
          <w:b/>
          <w:sz w:val="28"/>
          <w:szCs w:val="28"/>
        </w:rPr>
      </w:pPr>
      <w:r w:rsidRPr="0024512D">
        <w:rPr>
          <w:rFonts w:ascii="Verdana"/>
          <w:b/>
          <w:color w:val="202020"/>
          <w:sz w:val="28"/>
          <w:szCs w:val="28"/>
        </w:rPr>
        <w:t>JUSTIFICATIVA:</w:t>
      </w:r>
    </w:p>
    <w:p w14:paraId="0A84D7A6" w14:textId="77777777" w:rsidR="00DD26CF" w:rsidRPr="0024512D" w:rsidRDefault="00DD26CF" w:rsidP="00E32BA9">
      <w:pPr>
        <w:widowControl/>
        <w:shd w:val="clear" w:color="auto" w:fill="FFFFFF"/>
        <w:autoSpaceDE/>
        <w:autoSpaceDN/>
        <w:spacing w:line="264" w:lineRule="atLeast"/>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Considerando:</w:t>
      </w:r>
    </w:p>
    <w:p w14:paraId="2551C1F7" w14:textId="77777777" w:rsidR="00DD26CF" w:rsidRPr="0024512D" w:rsidRDefault="00DD26CF"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estabelecido no Anexo 1 da Resolução nº 671, de 3 de novembro de 2016, </w:t>
      </w:r>
      <w:proofErr w:type="spellStart"/>
      <w:r w:rsidRPr="0024512D">
        <w:rPr>
          <w:rFonts w:asciiTheme="minorHAnsi" w:eastAsia="Times New Roman" w:hAnsiTheme="minorHAnsi" w:cstheme="minorHAnsi"/>
          <w:color w:val="222222"/>
          <w:sz w:val="28"/>
          <w:szCs w:val="28"/>
          <w:lang w:val="pt-BR" w:eastAsia="pt-BR"/>
        </w:rPr>
        <w:t>art</w:t>
      </w:r>
      <w:proofErr w:type="spellEnd"/>
      <w:r w:rsidRPr="0024512D">
        <w:rPr>
          <w:rFonts w:asciiTheme="minorHAnsi" w:eastAsia="Times New Roman" w:hAnsiTheme="minorHAnsi" w:cstheme="minorHAnsi"/>
          <w:color w:val="222222"/>
          <w:sz w:val="28"/>
          <w:szCs w:val="28"/>
          <w:lang w:val="pt-BR" w:eastAsia="pt-BR"/>
        </w:rPr>
        <w:t xml:space="preserve"> 1º, §1º, onde:</w:t>
      </w:r>
    </w:p>
    <w:p w14:paraId="4C8ADF38" w14:textId="77777777" w:rsidR="00DD26CF" w:rsidRPr="0024512D" w:rsidRDefault="00DD26CF" w:rsidP="00E32BA9">
      <w:pPr>
        <w:widowControl/>
        <w:shd w:val="clear" w:color="auto" w:fill="FFFFFF"/>
        <w:autoSpaceDE/>
        <w:autoSpaceDN/>
        <w:spacing w:before="67"/>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1.1 - “a constatação de que o espectro de radiofrequências é um recurso limitado, constituindo-se em bem público, administrado pela Anatel”;</w:t>
      </w:r>
    </w:p>
    <w:p w14:paraId="06A253EB" w14:textId="77777777" w:rsidR="00DD26CF" w:rsidRPr="0024512D" w:rsidRDefault="00DD26CF" w:rsidP="00E32BA9">
      <w:pPr>
        <w:widowControl/>
        <w:shd w:val="clear" w:color="auto" w:fill="FFFFFF"/>
        <w:autoSpaceDE/>
        <w:autoSpaceDN/>
        <w:spacing w:before="67"/>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1.2 - “a utilização eficiente e adequada do espectro”;</w:t>
      </w:r>
    </w:p>
    <w:p w14:paraId="1C7A196B" w14:textId="77777777" w:rsidR="00DD26CF" w:rsidRPr="0024512D" w:rsidRDefault="00DD26CF" w:rsidP="00E32BA9">
      <w:pPr>
        <w:widowControl/>
        <w:shd w:val="clear" w:color="auto" w:fill="FFFFFF"/>
        <w:autoSpaceDE/>
        <w:autoSpaceDN/>
        <w:spacing w:before="67"/>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1.3 - “o emprego racional e econômico do espectro”; e</w:t>
      </w:r>
    </w:p>
    <w:p w14:paraId="132DD672" w14:textId="77777777" w:rsidR="00DD26CF" w:rsidRPr="0024512D" w:rsidRDefault="00DD26CF" w:rsidP="00E32BA9">
      <w:pPr>
        <w:widowControl/>
        <w:shd w:val="clear" w:color="auto" w:fill="FFFFFF"/>
        <w:autoSpaceDE/>
        <w:autoSpaceDN/>
        <w:spacing w:before="67"/>
        <w:ind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1.4 - “a ampliação do uso de redes e serviços de telecomunicações”;</w:t>
      </w:r>
    </w:p>
    <w:p w14:paraId="60888C35" w14:textId="77777777" w:rsidR="00DD26CF" w:rsidRPr="0024512D" w:rsidRDefault="00DD26CF"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o Art.2º da Resolução Anatel nº 716, de 31 de outubro de 2019, onde estabelece que, “nas faixas destinadas simultaneamente ao Serviço Móvel Pessoal (SMP) e ao Serviço Limitado Privado (SLP) para as quais ainda não houver condições de uso específicas para o SLP, este deverá observar as mesmas condições dispostas para o SMP, até que as referidas condições de uso específicas sejam definidas.”</w:t>
      </w:r>
    </w:p>
    <w:p w14:paraId="7177C151" w14:textId="77777777" w:rsidR="00DD26CF" w:rsidRPr="0024512D" w:rsidRDefault="00DD26CF"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na coluna 3 das “TABELAS DE ATRIBUIÇÃO E TABELAS DE DESTINAÇÃO E DISTRIBUIÇÃO DE FAIXAS DE FREQUÊNCIAS NO BRASIL - EDIÇÃO 2020” da Resolução Anatel nº 716, de 31 de outubro de 2019, há destinação simultânea para os serviços Limitado Privado (SLP) e Móvel Pessoal (SMP) para as faixas de frequência compreendidas entre 451 e 458 MHz e 461 e 468 MHz.</w:t>
      </w:r>
    </w:p>
    <w:p w14:paraId="1A402821" w14:textId="29694C85" w:rsidR="00DD26CF" w:rsidRPr="0024512D" w:rsidRDefault="00683C94"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Pr>
          <w:rFonts w:asciiTheme="minorHAnsi" w:eastAsia="Times New Roman" w:hAnsiTheme="minorHAnsi" w:cstheme="minorHAnsi"/>
          <w:color w:val="222222"/>
          <w:sz w:val="28"/>
          <w:szCs w:val="28"/>
          <w:lang w:val="pt-BR" w:eastAsia="pt-BR"/>
        </w:rPr>
        <w:t>q</w:t>
      </w:r>
      <w:r w:rsidR="00DD26CF" w:rsidRPr="0024512D">
        <w:rPr>
          <w:rFonts w:asciiTheme="minorHAnsi" w:eastAsia="Times New Roman" w:hAnsiTheme="minorHAnsi" w:cstheme="minorHAnsi"/>
          <w:color w:val="222222"/>
          <w:sz w:val="28"/>
          <w:szCs w:val="28"/>
          <w:lang w:val="pt-BR" w:eastAsia="pt-BR"/>
        </w:rPr>
        <w:t>ue</w:t>
      </w:r>
      <w:r>
        <w:rPr>
          <w:rFonts w:asciiTheme="minorHAnsi" w:eastAsia="Times New Roman" w:hAnsiTheme="minorHAnsi" w:cstheme="minorHAnsi"/>
          <w:color w:val="222222"/>
          <w:sz w:val="28"/>
          <w:szCs w:val="28"/>
          <w:lang w:val="pt-BR" w:eastAsia="pt-BR"/>
        </w:rPr>
        <w:t>, com exceção do disposto na Resolução Anatel no 628 de 6 de dezembro de 2013 sobre condições de uso</w:t>
      </w:r>
      <w:r w:rsidR="00DD26CF" w:rsidRPr="0024512D">
        <w:rPr>
          <w:rFonts w:asciiTheme="minorHAnsi" w:eastAsia="Times New Roman" w:hAnsiTheme="minorHAnsi" w:cstheme="minorHAnsi"/>
          <w:color w:val="222222"/>
          <w:sz w:val="28"/>
          <w:szCs w:val="28"/>
          <w:lang w:val="pt-BR" w:eastAsia="pt-BR"/>
        </w:rPr>
        <w:t xml:space="preserve"> </w:t>
      </w:r>
      <w:r>
        <w:rPr>
          <w:rFonts w:asciiTheme="minorHAnsi" w:eastAsia="Times New Roman" w:hAnsiTheme="minorHAnsi" w:cstheme="minorHAnsi"/>
          <w:color w:val="222222"/>
          <w:sz w:val="28"/>
          <w:szCs w:val="28"/>
          <w:lang w:val="pt-BR" w:eastAsia="pt-BR"/>
        </w:rPr>
        <w:t xml:space="preserve">de radiofrequências na faixa de 450 a 470 MHz pelo SLP no âmbito dos Aeroportos Nacionais, </w:t>
      </w:r>
      <w:r w:rsidR="00DD26CF" w:rsidRPr="0024512D">
        <w:rPr>
          <w:rFonts w:asciiTheme="minorHAnsi" w:eastAsia="Times New Roman" w:hAnsiTheme="minorHAnsi" w:cstheme="minorHAnsi"/>
          <w:color w:val="222222"/>
          <w:sz w:val="28"/>
          <w:szCs w:val="28"/>
          <w:lang w:val="pt-BR" w:eastAsia="pt-BR"/>
        </w:rPr>
        <w:t>não há condições de uso específicas para o SLP para as faixas de frequências compreendidas entre 451 e 458 MHz e 461 e 468 MHz.</w:t>
      </w:r>
    </w:p>
    <w:p w14:paraId="2A503C74" w14:textId="77777777" w:rsidR="00DD26CF" w:rsidRPr="0024512D" w:rsidRDefault="00DD26CF"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que a quase totalidade das empresas de distribuição de energia elétrica no Brasil possuem projetos em andamento, de interesse público, visando o cumprimento dos contratos de concessão de serviços públicos firmados com a União e o bem comum da sociedade.</w:t>
      </w:r>
    </w:p>
    <w:p w14:paraId="632BE609" w14:textId="77777777" w:rsidR="00DD26CF" w:rsidRPr="0024512D" w:rsidRDefault="00DD26CF" w:rsidP="00E32BA9">
      <w:pPr>
        <w:widowControl/>
        <w:numPr>
          <w:ilvl w:val="0"/>
          <w:numId w:val="1"/>
        </w:numPr>
        <w:shd w:val="clear" w:color="auto" w:fill="FFFFFF"/>
        <w:tabs>
          <w:tab w:val="clear" w:pos="720"/>
        </w:tabs>
        <w:autoSpaceDE/>
        <w:autoSpaceDN/>
        <w:spacing w:line="264" w:lineRule="atLeast"/>
        <w:ind w:left="0" w:right="582" w:firstLine="0"/>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para viabilizar o atendimento à demanda dos serviços de missão crítica de automação da rede de distribuição de energia elétrica, com a confiabilidade e disponibilidade adequadas a este propósito, será necessário o uso de frequências abaixo de 1GHz, com no mínimo 2x5 MHz de largura de faixa.</w:t>
      </w:r>
    </w:p>
    <w:p w14:paraId="2624D471" w14:textId="77777777" w:rsidR="00DD26CF" w:rsidRPr="0024512D" w:rsidRDefault="00DD26CF" w:rsidP="00820DBC">
      <w:pPr>
        <w:widowControl/>
        <w:numPr>
          <w:ilvl w:val="0"/>
          <w:numId w:val="1"/>
        </w:numPr>
        <w:shd w:val="clear" w:color="auto" w:fill="FFFFFF"/>
        <w:tabs>
          <w:tab w:val="clear" w:pos="720"/>
        </w:tabs>
        <w:autoSpaceDE/>
        <w:autoSpaceDN/>
        <w:spacing w:line="264" w:lineRule="atLeast"/>
        <w:ind w:left="1276" w:right="582" w:hanging="218"/>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que as faixas de frequências compreendidas entre 451 e 458 MHz e 461 e 468 MHz se encontram subutilizadas na maioria das regiões do país, onde as empresas de distribuição de energia elétrica possuem concessões para distribuição de energia elétrica todos os municípios brasileiros.</w:t>
      </w:r>
    </w:p>
    <w:p w14:paraId="6DF6BF7A" w14:textId="77777777" w:rsidR="00DD26CF" w:rsidRPr="0024512D" w:rsidRDefault="00DD26CF" w:rsidP="00820DBC">
      <w:pPr>
        <w:widowControl/>
        <w:numPr>
          <w:ilvl w:val="0"/>
          <w:numId w:val="1"/>
        </w:numPr>
        <w:shd w:val="clear" w:color="auto" w:fill="FFFFFF"/>
        <w:tabs>
          <w:tab w:val="clear" w:pos="720"/>
        </w:tabs>
        <w:autoSpaceDE/>
        <w:autoSpaceDN/>
        <w:spacing w:line="264" w:lineRule="atLeast"/>
        <w:ind w:left="1276" w:right="582" w:hanging="218"/>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lastRenderedPageBreak/>
        <w:t>que os compromissos de abrangência definidos para a Subfaixa de Radiofrequências de 451 MHz a 458 MHz / 461 MHz a 468 MHz (Objeto Tipo A) previstos no ANEXO II-B do edital de Licitação n.º 004/2012/PVCP/SPV-ANATEL não foram cumpridos.</w:t>
      </w:r>
    </w:p>
    <w:p w14:paraId="2E1C8FA7" w14:textId="77777777" w:rsidR="00DD26CF" w:rsidRPr="0024512D" w:rsidRDefault="00DD26CF" w:rsidP="00820DBC">
      <w:pPr>
        <w:widowControl/>
        <w:numPr>
          <w:ilvl w:val="0"/>
          <w:numId w:val="1"/>
        </w:numPr>
        <w:shd w:val="clear" w:color="auto" w:fill="FFFFFF"/>
        <w:tabs>
          <w:tab w:val="clear" w:pos="720"/>
        </w:tabs>
        <w:autoSpaceDE/>
        <w:autoSpaceDN/>
        <w:spacing w:line="264" w:lineRule="atLeast"/>
        <w:ind w:left="1276" w:right="582" w:hanging="218"/>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que através do Despacho Decisório nº 70/2019/PR, documentado no processo SEI nº 53500.025122/2014-48, o Conselho Diretor da Anatel decidiu “f) determinar à Superintendência de Outorga e Recursos à Prestação (SOR) que, em autos apartados:</w:t>
      </w:r>
    </w:p>
    <w:p w14:paraId="18BFB58A" w14:textId="77777777" w:rsidR="00DD26CF" w:rsidRPr="0024512D" w:rsidRDefault="00DD26CF" w:rsidP="00820DBC">
      <w:pPr>
        <w:widowControl/>
        <w:shd w:val="clear" w:color="auto" w:fill="FFFFFF"/>
        <w:autoSpaceDE/>
        <w:autoSpaceDN/>
        <w:spacing w:before="67"/>
        <w:ind w:left="1418"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f.1) notifique as prestadoras para que, caso queiram, comprovem, no prazo de 10 (dez) dias contados da notificação, a ativação do serviço nos termos do item 5.182 do referido voto, no prazo consignado pelo item 8.2.1 do Anexo II-B ao Edital;</w:t>
      </w:r>
    </w:p>
    <w:p w14:paraId="0DA427A2" w14:textId="77777777" w:rsidR="00DD26CF" w:rsidRPr="0024512D" w:rsidRDefault="00DD26CF" w:rsidP="00820DBC">
      <w:pPr>
        <w:widowControl/>
        <w:shd w:val="clear" w:color="auto" w:fill="FFFFFF"/>
        <w:autoSpaceDE/>
        <w:autoSpaceDN/>
        <w:spacing w:before="67"/>
        <w:ind w:left="1418"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f.2) submeta ao Conselho Diretor, após análise das manifestações acima citadas, matéria contendo proposta de extinção, por renúncia, das autorizações das subfaixas de 451 MHz a 458 MHz / 461 MHz a 468 MHz, nos casos em que não tenha havido ativação do serviço no prazo consignado no item 8.2.1 do Anexo II-B ao Edital;</w:t>
      </w:r>
    </w:p>
    <w:p w14:paraId="6D9123AD" w14:textId="77777777" w:rsidR="00DD26CF" w:rsidRPr="0024512D" w:rsidRDefault="00DD26CF" w:rsidP="00820DBC">
      <w:pPr>
        <w:widowControl/>
        <w:shd w:val="clear" w:color="auto" w:fill="FFFFFF"/>
        <w:autoSpaceDE/>
        <w:autoSpaceDN/>
        <w:spacing w:before="67"/>
        <w:ind w:left="1418" w:right="582"/>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g) dar ciência às prestadoras CLARO, OI, TELEFÔNICA e TIM da possibilidade de uso da subfaixa de 450 MHz por outros meios, tais como autorizações em caráter secundário e o Serviço Especial para Fins Científicos e Experimentais, observadas as suas condições de uso e exploração;”</w:t>
      </w:r>
    </w:p>
    <w:p w14:paraId="74129C08" w14:textId="77777777" w:rsidR="00DD26CF" w:rsidRPr="0024512D" w:rsidRDefault="00DD26CF" w:rsidP="00820DBC">
      <w:pPr>
        <w:widowControl/>
        <w:numPr>
          <w:ilvl w:val="0"/>
          <w:numId w:val="1"/>
        </w:numPr>
        <w:shd w:val="clear" w:color="auto" w:fill="FFFFFF"/>
        <w:tabs>
          <w:tab w:val="clear" w:pos="720"/>
        </w:tabs>
        <w:autoSpaceDE/>
        <w:autoSpaceDN/>
        <w:spacing w:line="264" w:lineRule="atLeast"/>
        <w:ind w:left="1276" w:right="582" w:hanging="218"/>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que devem ser observados os limites estabelecidos no item I do Art. 1º da Resolução Anatel nº 703, de 01 de novembro de 2018, para que uma mesma Prestadora de serviço de telecomunicações de interesse coletivo, sua(s) coligada(s), controlada(s) ou controladora(s), em um mesmo município, poderão deter faixas de radiofrequências abaixo de 1GHz.</w:t>
      </w:r>
    </w:p>
    <w:p w14:paraId="45DF2863" w14:textId="67E6125D" w:rsidR="00DD26CF" w:rsidRPr="0024512D" w:rsidRDefault="00DD26CF" w:rsidP="00820DBC">
      <w:pPr>
        <w:widowControl/>
        <w:numPr>
          <w:ilvl w:val="0"/>
          <w:numId w:val="1"/>
        </w:numPr>
        <w:shd w:val="clear" w:color="auto" w:fill="FFFFFF"/>
        <w:tabs>
          <w:tab w:val="clear" w:pos="720"/>
        </w:tabs>
        <w:autoSpaceDE/>
        <w:autoSpaceDN/>
        <w:spacing w:line="264" w:lineRule="atLeast"/>
        <w:ind w:left="1276" w:right="582" w:hanging="218"/>
        <w:jc w:val="both"/>
        <w:rPr>
          <w:rFonts w:asciiTheme="minorHAnsi" w:eastAsia="Times New Roman" w:hAnsiTheme="minorHAnsi" w:cstheme="minorHAnsi"/>
          <w:color w:val="222222"/>
          <w:sz w:val="28"/>
          <w:szCs w:val="28"/>
          <w:lang w:val="pt-BR" w:eastAsia="pt-BR"/>
        </w:rPr>
      </w:pPr>
      <w:r w:rsidRPr="0024512D">
        <w:rPr>
          <w:rFonts w:asciiTheme="minorHAnsi" w:eastAsia="Times New Roman" w:hAnsiTheme="minorHAnsi" w:cstheme="minorHAnsi"/>
          <w:color w:val="222222"/>
          <w:sz w:val="28"/>
          <w:szCs w:val="28"/>
          <w:lang w:val="pt-BR" w:eastAsia="pt-BR"/>
        </w:rPr>
        <w:t>que, conforme a Lei nº 9.472, de 16 de julho de 1997, à Anatel compete adotar as medidas necessárias para o atendimento do interesse público e para o desenvolvimento das telecomunicações brasileiras, atuando com independência, imparcialidade, legalidade, impessoalidade e publicidade, e especialmente, dentre outras, administrar o espectro de radiofrequências.</w:t>
      </w:r>
    </w:p>
    <w:p w14:paraId="6C4C740D" w14:textId="5EB342F4" w:rsidR="00295213" w:rsidRDefault="00295213">
      <w:pPr>
        <w:pStyle w:val="Corpodetexto"/>
        <w:rPr>
          <w:rFonts w:ascii="Verdana"/>
          <w:b/>
          <w:sz w:val="28"/>
          <w:szCs w:val="28"/>
          <w:lang w:val="pt-BR"/>
        </w:rPr>
      </w:pPr>
    </w:p>
    <w:p w14:paraId="1E1C6515" w14:textId="00926649" w:rsidR="00341ED4" w:rsidRPr="0024512D" w:rsidRDefault="00341ED4">
      <w:pPr>
        <w:pStyle w:val="Corpodetexto"/>
        <w:rPr>
          <w:rFonts w:ascii="Verdana"/>
          <w:b/>
          <w:sz w:val="28"/>
          <w:szCs w:val="28"/>
          <w:lang w:val="pt-BR"/>
        </w:rPr>
      </w:pPr>
      <w:r>
        <w:rPr>
          <w:rFonts w:ascii="Verdana"/>
          <w:b/>
          <w:sz w:val="28"/>
          <w:szCs w:val="28"/>
          <w:lang w:val="pt-BR"/>
        </w:rPr>
        <w:t>______________________________________________________</w:t>
      </w:r>
    </w:p>
    <w:p w14:paraId="231E42EC" w14:textId="16F12A03" w:rsidR="00295213" w:rsidRPr="0024512D" w:rsidRDefault="00295213">
      <w:pPr>
        <w:pStyle w:val="Corpodetexto"/>
        <w:rPr>
          <w:rFonts w:ascii="Verdana"/>
          <w:b/>
          <w:sz w:val="28"/>
          <w:szCs w:val="28"/>
          <w:lang w:val="pt-BR"/>
        </w:rPr>
      </w:pPr>
    </w:p>
    <w:p w14:paraId="0C6DD08D" w14:textId="118EC5FE" w:rsidR="00341ED4" w:rsidRDefault="00341ED4">
      <w:pPr>
        <w:rPr>
          <w:rFonts w:ascii="Verdana"/>
          <w:b/>
          <w:sz w:val="28"/>
          <w:szCs w:val="28"/>
          <w:lang w:val="pt-BR"/>
        </w:rPr>
      </w:pPr>
      <w:r>
        <w:rPr>
          <w:rFonts w:ascii="Verdana"/>
          <w:b/>
          <w:sz w:val="28"/>
          <w:szCs w:val="28"/>
          <w:lang w:val="pt-BR"/>
        </w:rPr>
        <w:br w:type="page"/>
      </w:r>
    </w:p>
    <w:p w14:paraId="03F952F1" w14:textId="0EEF8CA5" w:rsidR="0024512D" w:rsidRPr="0024512D" w:rsidRDefault="0024512D">
      <w:pPr>
        <w:pStyle w:val="Corpodetexto"/>
        <w:rPr>
          <w:rFonts w:ascii="Verdana"/>
          <w:b/>
          <w:sz w:val="28"/>
          <w:szCs w:val="28"/>
          <w:lang w:val="pt-BR"/>
        </w:rPr>
      </w:pPr>
    </w:p>
    <w:p w14:paraId="738193CE" w14:textId="4D102991" w:rsidR="0024512D" w:rsidRPr="0024512D" w:rsidRDefault="0024512D">
      <w:pPr>
        <w:pStyle w:val="Corpodetexto"/>
        <w:rPr>
          <w:rFonts w:ascii="Verdana"/>
          <w:b/>
          <w:sz w:val="28"/>
          <w:szCs w:val="28"/>
          <w:lang w:val="pt-BR"/>
        </w:rPr>
      </w:pPr>
    </w:p>
    <w:p w14:paraId="00177087" w14:textId="1E449E25" w:rsidR="0024512D" w:rsidRPr="0024512D" w:rsidRDefault="0024512D">
      <w:pPr>
        <w:pStyle w:val="Corpodetexto"/>
        <w:rPr>
          <w:rFonts w:ascii="Verdana"/>
          <w:b/>
          <w:sz w:val="28"/>
          <w:szCs w:val="28"/>
          <w:lang w:val="pt-BR"/>
        </w:rPr>
      </w:pPr>
    </w:p>
    <w:p w14:paraId="4973C6A3" w14:textId="77777777" w:rsidR="0024512D" w:rsidRPr="0024512D" w:rsidRDefault="0024512D">
      <w:pPr>
        <w:pStyle w:val="Corpodetexto"/>
        <w:rPr>
          <w:rFonts w:ascii="Verdana"/>
          <w:b/>
          <w:sz w:val="28"/>
          <w:szCs w:val="28"/>
          <w:lang w:val="pt-BR"/>
        </w:rPr>
      </w:pPr>
    </w:p>
    <w:p w14:paraId="02FEE7A9" w14:textId="77777777" w:rsidR="00295213" w:rsidRPr="0024512D" w:rsidRDefault="00295213">
      <w:pPr>
        <w:pStyle w:val="Corpodetexto"/>
        <w:rPr>
          <w:b/>
          <w:sz w:val="28"/>
          <w:szCs w:val="28"/>
          <w:lang w:val="pt-BR"/>
        </w:rPr>
      </w:pPr>
    </w:p>
    <w:p w14:paraId="72502DF4" w14:textId="77777777" w:rsidR="0081636A" w:rsidRPr="0024512D" w:rsidRDefault="0081636A">
      <w:pPr>
        <w:pStyle w:val="Corpodetexto"/>
        <w:rPr>
          <w:b/>
          <w:sz w:val="28"/>
          <w:szCs w:val="28"/>
          <w:lang w:val="pt-BR"/>
        </w:rPr>
        <w:sectPr w:rsidR="0081636A" w:rsidRPr="0024512D" w:rsidSect="0081636A">
          <w:type w:val="continuous"/>
          <w:pgSz w:w="11910" w:h="16840"/>
          <w:pgMar w:top="1020" w:right="440" w:bottom="280" w:left="540" w:header="720" w:footer="720" w:gutter="0"/>
          <w:cols w:space="146"/>
        </w:sectPr>
      </w:pPr>
    </w:p>
    <w:p w14:paraId="05E218C5" w14:textId="77777777" w:rsidR="00295213" w:rsidRPr="0024512D" w:rsidRDefault="00295213">
      <w:pPr>
        <w:pStyle w:val="Corpodetexto"/>
        <w:spacing w:before="7"/>
        <w:rPr>
          <w:rFonts w:ascii="Arial"/>
          <w:sz w:val="28"/>
          <w:szCs w:val="28"/>
          <w:lang w:val="pt-BR"/>
        </w:rPr>
      </w:pPr>
    </w:p>
    <w:sectPr w:rsidR="00295213" w:rsidRPr="0024512D" w:rsidSect="0081636A">
      <w:type w:val="continuous"/>
      <w:pgSz w:w="11910" w:h="16840"/>
      <w:pgMar w:top="1020" w:right="440" w:bottom="280" w:left="540" w:header="720" w:footer="720" w:gutter="0"/>
      <w:cols w:num="2" w:space="720" w:equalWidth="0">
        <w:col w:w="2124" w:space="146"/>
        <w:col w:w="86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C0E"/>
    <w:multiLevelType w:val="multilevel"/>
    <w:tmpl w:val="080A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85B567F"/>
    <w:multiLevelType w:val="hybridMultilevel"/>
    <w:tmpl w:val="C04230FA"/>
    <w:lvl w:ilvl="0" w:tplc="DDACCB46">
      <w:start w:val="900"/>
      <w:numFmt w:val="bullet"/>
      <w:lvlText w:val="-"/>
      <w:lvlJc w:val="left"/>
      <w:pPr>
        <w:ind w:left="482" w:hanging="360"/>
      </w:pPr>
      <w:rPr>
        <w:rFonts w:ascii="Verdana" w:eastAsia="Tahoma" w:hAnsi="Verdana" w:cs="Tahoma" w:hint="default"/>
      </w:rPr>
    </w:lvl>
    <w:lvl w:ilvl="1" w:tplc="04160003" w:tentative="1">
      <w:start w:val="1"/>
      <w:numFmt w:val="bullet"/>
      <w:lvlText w:val="o"/>
      <w:lvlJc w:val="left"/>
      <w:pPr>
        <w:ind w:left="1202" w:hanging="360"/>
      </w:pPr>
      <w:rPr>
        <w:rFonts w:ascii="Courier New" w:hAnsi="Courier New" w:cs="Courier New" w:hint="default"/>
      </w:rPr>
    </w:lvl>
    <w:lvl w:ilvl="2" w:tplc="04160005" w:tentative="1">
      <w:start w:val="1"/>
      <w:numFmt w:val="bullet"/>
      <w:lvlText w:val=""/>
      <w:lvlJc w:val="left"/>
      <w:pPr>
        <w:ind w:left="1922" w:hanging="360"/>
      </w:pPr>
      <w:rPr>
        <w:rFonts w:ascii="Wingdings" w:hAnsi="Wingdings" w:hint="default"/>
      </w:rPr>
    </w:lvl>
    <w:lvl w:ilvl="3" w:tplc="04160001" w:tentative="1">
      <w:start w:val="1"/>
      <w:numFmt w:val="bullet"/>
      <w:lvlText w:val=""/>
      <w:lvlJc w:val="left"/>
      <w:pPr>
        <w:ind w:left="2642" w:hanging="360"/>
      </w:pPr>
      <w:rPr>
        <w:rFonts w:ascii="Symbol" w:hAnsi="Symbol" w:hint="default"/>
      </w:rPr>
    </w:lvl>
    <w:lvl w:ilvl="4" w:tplc="04160003" w:tentative="1">
      <w:start w:val="1"/>
      <w:numFmt w:val="bullet"/>
      <w:lvlText w:val="o"/>
      <w:lvlJc w:val="left"/>
      <w:pPr>
        <w:ind w:left="3362" w:hanging="360"/>
      </w:pPr>
      <w:rPr>
        <w:rFonts w:ascii="Courier New" w:hAnsi="Courier New" w:cs="Courier New" w:hint="default"/>
      </w:rPr>
    </w:lvl>
    <w:lvl w:ilvl="5" w:tplc="04160005" w:tentative="1">
      <w:start w:val="1"/>
      <w:numFmt w:val="bullet"/>
      <w:lvlText w:val=""/>
      <w:lvlJc w:val="left"/>
      <w:pPr>
        <w:ind w:left="4082" w:hanging="360"/>
      </w:pPr>
      <w:rPr>
        <w:rFonts w:ascii="Wingdings" w:hAnsi="Wingdings" w:hint="default"/>
      </w:rPr>
    </w:lvl>
    <w:lvl w:ilvl="6" w:tplc="04160001" w:tentative="1">
      <w:start w:val="1"/>
      <w:numFmt w:val="bullet"/>
      <w:lvlText w:val=""/>
      <w:lvlJc w:val="left"/>
      <w:pPr>
        <w:ind w:left="4802" w:hanging="360"/>
      </w:pPr>
      <w:rPr>
        <w:rFonts w:ascii="Symbol" w:hAnsi="Symbol" w:hint="default"/>
      </w:rPr>
    </w:lvl>
    <w:lvl w:ilvl="7" w:tplc="04160003" w:tentative="1">
      <w:start w:val="1"/>
      <w:numFmt w:val="bullet"/>
      <w:lvlText w:val="o"/>
      <w:lvlJc w:val="left"/>
      <w:pPr>
        <w:ind w:left="5522" w:hanging="360"/>
      </w:pPr>
      <w:rPr>
        <w:rFonts w:ascii="Courier New" w:hAnsi="Courier New" w:cs="Courier New" w:hint="default"/>
      </w:rPr>
    </w:lvl>
    <w:lvl w:ilvl="8" w:tplc="04160005" w:tentative="1">
      <w:start w:val="1"/>
      <w:numFmt w:val="bullet"/>
      <w:lvlText w:val=""/>
      <w:lvlJc w:val="left"/>
      <w:pPr>
        <w:ind w:left="6242" w:hanging="360"/>
      </w:pPr>
      <w:rPr>
        <w:rFonts w:ascii="Wingdings" w:hAnsi="Wingdings" w:hint="default"/>
      </w:rPr>
    </w:lvl>
  </w:abstractNum>
  <w:abstractNum w:abstractNumId="2" w15:restartNumberingAfterBreak="0">
    <w:nsid w:val="6FA13D53"/>
    <w:multiLevelType w:val="multilevel"/>
    <w:tmpl w:val="C96A9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213"/>
    <w:rsid w:val="000546EA"/>
    <w:rsid w:val="000A5373"/>
    <w:rsid w:val="000C2C11"/>
    <w:rsid w:val="00244D3D"/>
    <w:rsid w:val="0024512D"/>
    <w:rsid w:val="002451B5"/>
    <w:rsid w:val="00295213"/>
    <w:rsid w:val="002C5594"/>
    <w:rsid w:val="00341ED4"/>
    <w:rsid w:val="004478F1"/>
    <w:rsid w:val="004F68EF"/>
    <w:rsid w:val="0060418B"/>
    <w:rsid w:val="00683C94"/>
    <w:rsid w:val="0070722F"/>
    <w:rsid w:val="0081636A"/>
    <w:rsid w:val="00820DBC"/>
    <w:rsid w:val="00C5070E"/>
    <w:rsid w:val="00CD7FC9"/>
    <w:rsid w:val="00DD26CF"/>
    <w:rsid w:val="00E00002"/>
    <w:rsid w:val="00E32BA9"/>
    <w:rsid w:val="00FD1B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6BC3"/>
  <w15:docId w15:val="{8FF92F90-0E7B-48F4-B71D-B5FE9300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Ttulo">
    <w:name w:val="Title"/>
    <w:basedOn w:val="Normal"/>
    <w:uiPriority w:val="10"/>
    <w:qFormat/>
    <w:pPr>
      <w:spacing w:before="249"/>
      <w:ind w:left="1080"/>
    </w:pPr>
    <w:rPr>
      <w:rFonts w:ascii="Times New Roman" w:eastAsia="Times New Roman" w:hAnsi="Times New Roman" w:cs="Times New Roman"/>
      <w:b/>
      <w:bCs/>
      <w:i/>
      <w:iCs/>
      <w:sz w:val="58"/>
      <w:szCs w:val="58"/>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customStyle="1" w:styleId="m4823847417086689972msobodytext">
    <w:name w:val="m_4823847417086689972msobodytext"/>
    <w:basedOn w:val="Normal"/>
    <w:rsid w:val="00C5070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customStyle="1" w:styleId="m4823847417086689972msolistparagraph">
    <w:name w:val="m_4823847417086689972msolistparagraph"/>
    <w:basedOn w:val="Normal"/>
    <w:rsid w:val="00DD26C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Reviso">
    <w:name w:val="Revision"/>
    <w:hidden/>
    <w:uiPriority w:val="99"/>
    <w:semiHidden/>
    <w:rsid w:val="000C2C11"/>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55816">
      <w:bodyDiv w:val="1"/>
      <w:marLeft w:val="0"/>
      <w:marRight w:val="0"/>
      <w:marTop w:val="0"/>
      <w:marBottom w:val="0"/>
      <w:divBdr>
        <w:top w:val="none" w:sz="0" w:space="0" w:color="auto"/>
        <w:left w:val="none" w:sz="0" w:space="0" w:color="auto"/>
        <w:bottom w:val="none" w:sz="0" w:space="0" w:color="auto"/>
        <w:right w:val="none" w:sz="0" w:space="0" w:color="auto"/>
      </w:divBdr>
    </w:div>
    <w:div w:id="1210144149">
      <w:bodyDiv w:val="1"/>
      <w:marLeft w:val="0"/>
      <w:marRight w:val="0"/>
      <w:marTop w:val="0"/>
      <w:marBottom w:val="0"/>
      <w:divBdr>
        <w:top w:val="none" w:sz="0" w:space="0" w:color="auto"/>
        <w:left w:val="none" w:sz="0" w:space="0" w:color="auto"/>
        <w:bottom w:val="none" w:sz="0" w:space="0" w:color="auto"/>
        <w:right w:val="none" w:sz="0" w:space="0" w:color="auto"/>
      </w:divBdr>
    </w:div>
    <w:div w:id="1229878343">
      <w:bodyDiv w:val="1"/>
      <w:marLeft w:val="0"/>
      <w:marRight w:val="0"/>
      <w:marTop w:val="0"/>
      <w:marBottom w:val="0"/>
      <w:divBdr>
        <w:top w:val="none" w:sz="0" w:space="0" w:color="auto"/>
        <w:left w:val="none" w:sz="0" w:space="0" w:color="auto"/>
        <w:bottom w:val="none" w:sz="0" w:space="0" w:color="auto"/>
        <w:right w:val="none" w:sz="0" w:space="0" w:color="auto"/>
      </w:divBdr>
    </w:div>
    <w:div w:id="1482426787">
      <w:bodyDiv w:val="1"/>
      <w:marLeft w:val="0"/>
      <w:marRight w:val="0"/>
      <w:marTop w:val="0"/>
      <w:marBottom w:val="0"/>
      <w:divBdr>
        <w:top w:val="none" w:sz="0" w:space="0" w:color="auto"/>
        <w:left w:val="none" w:sz="0" w:space="0" w:color="auto"/>
        <w:bottom w:val="none" w:sz="0" w:space="0" w:color="auto"/>
        <w:right w:val="none" w:sz="0" w:space="0" w:color="auto"/>
      </w:divBdr>
      <w:divsChild>
        <w:div w:id="1110128887">
          <w:marLeft w:val="0"/>
          <w:marRight w:val="0"/>
          <w:marTop w:val="0"/>
          <w:marBottom w:val="0"/>
          <w:divBdr>
            <w:top w:val="none" w:sz="0" w:space="0" w:color="auto"/>
            <w:left w:val="none" w:sz="0" w:space="0" w:color="auto"/>
            <w:bottom w:val="none" w:sz="0" w:space="0" w:color="auto"/>
            <w:right w:val="none" w:sz="0" w:space="0" w:color="auto"/>
          </w:divBdr>
        </w:div>
        <w:div w:id="1973556910">
          <w:marLeft w:val="0"/>
          <w:marRight w:val="0"/>
          <w:marTop w:val="0"/>
          <w:marBottom w:val="0"/>
          <w:divBdr>
            <w:top w:val="none" w:sz="0" w:space="0" w:color="auto"/>
            <w:left w:val="none" w:sz="0" w:space="0" w:color="auto"/>
            <w:bottom w:val="none" w:sz="0" w:space="0" w:color="auto"/>
            <w:right w:val="none" w:sz="0" w:space="0" w:color="auto"/>
          </w:divBdr>
        </w:div>
        <w:div w:id="566261371">
          <w:marLeft w:val="0"/>
          <w:marRight w:val="0"/>
          <w:marTop w:val="0"/>
          <w:marBottom w:val="0"/>
          <w:divBdr>
            <w:top w:val="none" w:sz="0" w:space="0" w:color="auto"/>
            <w:left w:val="none" w:sz="0" w:space="0" w:color="auto"/>
            <w:bottom w:val="none" w:sz="0" w:space="0" w:color="auto"/>
            <w:right w:val="none" w:sz="0" w:space="0" w:color="auto"/>
          </w:divBdr>
        </w:div>
        <w:div w:id="14967635">
          <w:marLeft w:val="0"/>
          <w:marRight w:val="0"/>
          <w:marTop w:val="0"/>
          <w:marBottom w:val="0"/>
          <w:divBdr>
            <w:top w:val="none" w:sz="0" w:space="0" w:color="auto"/>
            <w:left w:val="none" w:sz="0" w:space="0" w:color="auto"/>
            <w:bottom w:val="none" w:sz="0" w:space="0" w:color="auto"/>
            <w:right w:val="none" w:sz="0" w:space="0" w:color="auto"/>
          </w:divBdr>
        </w:div>
        <w:div w:id="119690489">
          <w:marLeft w:val="0"/>
          <w:marRight w:val="0"/>
          <w:marTop w:val="0"/>
          <w:marBottom w:val="0"/>
          <w:divBdr>
            <w:top w:val="none" w:sz="0" w:space="0" w:color="auto"/>
            <w:left w:val="none" w:sz="0" w:space="0" w:color="auto"/>
            <w:bottom w:val="none" w:sz="0" w:space="0" w:color="auto"/>
            <w:right w:val="none" w:sz="0" w:space="0" w:color="auto"/>
          </w:divBdr>
        </w:div>
        <w:div w:id="1749156113">
          <w:marLeft w:val="0"/>
          <w:marRight w:val="0"/>
          <w:marTop w:val="0"/>
          <w:marBottom w:val="0"/>
          <w:divBdr>
            <w:top w:val="none" w:sz="0" w:space="0" w:color="auto"/>
            <w:left w:val="none" w:sz="0" w:space="0" w:color="auto"/>
            <w:bottom w:val="none" w:sz="0" w:space="0" w:color="auto"/>
            <w:right w:val="none" w:sz="0" w:space="0" w:color="auto"/>
          </w:divBdr>
        </w:div>
        <w:div w:id="38022052">
          <w:marLeft w:val="0"/>
          <w:marRight w:val="0"/>
          <w:marTop w:val="0"/>
          <w:marBottom w:val="0"/>
          <w:divBdr>
            <w:top w:val="none" w:sz="0" w:space="0" w:color="auto"/>
            <w:left w:val="none" w:sz="0" w:space="0" w:color="auto"/>
            <w:bottom w:val="none" w:sz="0" w:space="0" w:color="auto"/>
            <w:right w:val="none" w:sz="0" w:space="0" w:color="auto"/>
          </w:divBdr>
        </w:div>
        <w:div w:id="1050107867">
          <w:marLeft w:val="0"/>
          <w:marRight w:val="0"/>
          <w:marTop w:val="0"/>
          <w:marBottom w:val="0"/>
          <w:divBdr>
            <w:top w:val="none" w:sz="0" w:space="0" w:color="auto"/>
            <w:left w:val="none" w:sz="0" w:space="0" w:color="auto"/>
            <w:bottom w:val="none" w:sz="0" w:space="0" w:color="auto"/>
            <w:right w:val="none" w:sz="0" w:space="0" w:color="auto"/>
          </w:divBdr>
        </w:div>
        <w:div w:id="91824292">
          <w:marLeft w:val="0"/>
          <w:marRight w:val="0"/>
          <w:marTop w:val="0"/>
          <w:marBottom w:val="0"/>
          <w:divBdr>
            <w:top w:val="none" w:sz="0" w:space="0" w:color="auto"/>
            <w:left w:val="none" w:sz="0" w:space="0" w:color="auto"/>
            <w:bottom w:val="none" w:sz="0" w:space="0" w:color="auto"/>
            <w:right w:val="none" w:sz="0" w:space="0" w:color="auto"/>
          </w:divBdr>
        </w:div>
      </w:divsChild>
    </w:div>
    <w:div w:id="1931692020">
      <w:bodyDiv w:val="1"/>
      <w:marLeft w:val="0"/>
      <w:marRight w:val="0"/>
      <w:marTop w:val="0"/>
      <w:marBottom w:val="0"/>
      <w:divBdr>
        <w:top w:val="none" w:sz="0" w:space="0" w:color="auto"/>
        <w:left w:val="none" w:sz="0" w:space="0" w:color="auto"/>
        <w:bottom w:val="none" w:sz="0" w:space="0" w:color="auto"/>
        <w:right w:val="none" w:sz="0" w:space="0" w:color="auto"/>
      </w:divBdr>
      <w:divsChild>
        <w:div w:id="1986859523">
          <w:marLeft w:val="0"/>
          <w:marRight w:val="0"/>
          <w:marTop w:val="0"/>
          <w:marBottom w:val="0"/>
          <w:divBdr>
            <w:top w:val="none" w:sz="0" w:space="0" w:color="auto"/>
            <w:left w:val="none" w:sz="0" w:space="0" w:color="auto"/>
            <w:bottom w:val="none" w:sz="0" w:space="0" w:color="auto"/>
            <w:right w:val="none" w:sz="0" w:space="0" w:color="auto"/>
          </w:divBdr>
        </w:div>
        <w:div w:id="120655755">
          <w:marLeft w:val="0"/>
          <w:marRight w:val="0"/>
          <w:marTop w:val="0"/>
          <w:marBottom w:val="0"/>
          <w:divBdr>
            <w:top w:val="none" w:sz="0" w:space="0" w:color="auto"/>
            <w:left w:val="none" w:sz="0" w:space="0" w:color="auto"/>
            <w:bottom w:val="none" w:sz="0" w:space="0" w:color="auto"/>
            <w:right w:val="none" w:sz="0" w:space="0" w:color="auto"/>
          </w:divBdr>
        </w:div>
        <w:div w:id="1595747004">
          <w:marLeft w:val="0"/>
          <w:marRight w:val="0"/>
          <w:marTop w:val="0"/>
          <w:marBottom w:val="0"/>
          <w:divBdr>
            <w:top w:val="none" w:sz="0" w:space="0" w:color="auto"/>
            <w:left w:val="none" w:sz="0" w:space="0" w:color="auto"/>
            <w:bottom w:val="none" w:sz="0" w:space="0" w:color="auto"/>
            <w:right w:val="none" w:sz="0" w:space="0" w:color="auto"/>
          </w:divBdr>
        </w:div>
        <w:div w:id="264000456">
          <w:marLeft w:val="0"/>
          <w:marRight w:val="0"/>
          <w:marTop w:val="0"/>
          <w:marBottom w:val="0"/>
          <w:divBdr>
            <w:top w:val="none" w:sz="0" w:space="0" w:color="auto"/>
            <w:left w:val="none" w:sz="0" w:space="0" w:color="auto"/>
            <w:bottom w:val="none" w:sz="0" w:space="0" w:color="auto"/>
            <w:right w:val="none" w:sz="0" w:space="0" w:color="auto"/>
          </w:divBdr>
        </w:div>
        <w:div w:id="963193970">
          <w:marLeft w:val="0"/>
          <w:marRight w:val="0"/>
          <w:marTop w:val="0"/>
          <w:marBottom w:val="0"/>
          <w:divBdr>
            <w:top w:val="none" w:sz="0" w:space="0" w:color="auto"/>
            <w:left w:val="none" w:sz="0" w:space="0" w:color="auto"/>
            <w:bottom w:val="none" w:sz="0" w:space="0" w:color="auto"/>
            <w:right w:val="none" w:sz="0" w:space="0" w:color="auto"/>
          </w:divBdr>
        </w:div>
        <w:div w:id="387147579">
          <w:marLeft w:val="0"/>
          <w:marRight w:val="0"/>
          <w:marTop w:val="0"/>
          <w:marBottom w:val="0"/>
          <w:divBdr>
            <w:top w:val="none" w:sz="0" w:space="0" w:color="auto"/>
            <w:left w:val="none" w:sz="0" w:space="0" w:color="auto"/>
            <w:bottom w:val="none" w:sz="0" w:space="0" w:color="auto"/>
            <w:right w:val="none" w:sz="0" w:space="0" w:color="auto"/>
          </w:divBdr>
        </w:div>
        <w:div w:id="1614048869">
          <w:marLeft w:val="0"/>
          <w:marRight w:val="0"/>
          <w:marTop w:val="0"/>
          <w:marBottom w:val="0"/>
          <w:divBdr>
            <w:top w:val="none" w:sz="0" w:space="0" w:color="auto"/>
            <w:left w:val="none" w:sz="0" w:space="0" w:color="auto"/>
            <w:bottom w:val="none" w:sz="0" w:space="0" w:color="auto"/>
            <w:right w:val="none" w:sz="0" w:space="0" w:color="auto"/>
          </w:divBdr>
        </w:div>
        <w:div w:id="1028992256">
          <w:marLeft w:val="0"/>
          <w:marRight w:val="0"/>
          <w:marTop w:val="0"/>
          <w:marBottom w:val="0"/>
          <w:divBdr>
            <w:top w:val="none" w:sz="0" w:space="0" w:color="auto"/>
            <w:left w:val="none" w:sz="0" w:space="0" w:color="auto"/>
            <w:bottom w:val="none" w:sz="0" w:space="0" w:color="auto"/>
            <w:right w:val="none" w:sz="0" w:space="0" w:color="auto"/>
          </w:divBdr>
        </w:div>
        <w:div w:id="18259278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1879</Words>
  <Characters>10151</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SACP - ACOMPANHAMENTO DE CONSULTA PÚBLICA - [SIS versão 2.2.61]</vt:lpstr>
    </vt:vector>
  </TitlesOfParts>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SACP - ACOMPANHAMENTO DE CONSULTA PÚBLICA - [SIS versão 2.2.61]</dc:title>
  <dc:creator>rsant</dc:creator>
  <cp:lastModifiedBy>UTC América Latina UTCAL</cp:lastModifiedBy>
  <cp:revision>3</cp:revision>
  <dcterms:created xsi:type="dcterms:W3CDTF">2021-12-13T17:20:00Z</dcterms:created>
  <dcterms:modified xsi:type="dcterms:W3CDTF">2021-12-13T17:43:00Z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LastSaved">
    <vt:filetime>2021-12-06T00:00:00Z</vt:filetime>
  </property>
</Properties>
</file>